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jc w:val="both"/>
        <w:rPr>
          <w:rFonts w:hint="eastAsia" w:ascii="黑体" w:hAnsi="黑体" w:eastAsia="黑体" w:cs="黑体"/>
          <w:b/>
          <w:bCs/>
          <w:i w:val="0"/>
          <w:iCs w:val="0"/>
          <w:caps w:val="0"/>
          <w:color w:val="auto"/>
          <w:spacing w:val="8"/>
          <w:sz w:val="32"/>
          <w:szCs w:val="32"/>
          <w:shd w:val="clear" w:color="auto" w:fill="FFFFFF"/>
          <w:lang w:val="en-US" w:eastAsia="zh-CN"/>
        </w:rPr>
      </w:pPr>
      <w:r>
        <w:rPr>
          <w:rFonts w:hint="eastAsia" w:ascii="黑体" w:hAnsi="黑体" w:eastAsia="黑体" w:cs="黑体"/>
          <w:b/>
          <w:bCs/>
          <w:i w:val="0"/>
          <w:iCs w:val="0"/>
          <w:caps w:val="0"/>
          <w:color w:val="auto"/>
          <w:spacing w:val="8"/>
          <w:kern w:val="2"/>
          <w:sz w:val="25"/>
          <w:szCs w:val="25"/>
          <w:shd w:val="clear" w:color="auto" w:fill="FFFFFF"/>
          <w:lang w:val="en-US" w:eastAsia="zh-CN" w:bidi="ar-SA"/>
        </w:rPr>
        <w:t>附件</w:t>
      </w:r>
      <w:r>
        <w:rPr>
          <w:rFonts w:hint="eastAsia" w:ascii="黑体" w:hAnsi="黑体" w:eastAsia="黑体" w:cs="黑体"/>
          <w:b/>
          <w:bCs/>
          <w:i w:val="0"/>
          <w:iCs w:val="0"/>
          <w:caps w:val="0"/>
          <w:color w:val="auto"/>
          <w:spacing w:val="8"/>
          <w:kern w:val="2"/>
          <w:sz w:val="25"/>
          <w:szCs w:val="25"/>
          <w:shd w:val="clear" w:color="auto" w:fill="FFFFFF"/>
          <w:lang w:val="en-US" w:eastAsia="zh-CN" w:bidi="ar-SA"/>
        </w:rPr>
        <w:t>1：</w:t>
      </w:r>
    </w:p>
    <w:tbl>
      <w:tblPr>
        <w:tblStyle w:val="5"/>
        <w:tblW w:w="0" w:type="auto"/>
        <w:tblInd w:w="93" w:type="dxa"/>
        <w:tblLayout w:type="fixed"/>
        <w:tblCellMar>
          <w:top w:w="0" w:type="dxa"/>
          <w:left w:w="108" w:type="dxa"/>
          <w:bottom w:w="0" w:type="dxa"/>
          <w:right w:w="108" w:type="dxa"/>
        </w:tblCellMar>
      </w:tblPr>
      <w:tblGrid>
        <w:gridCol w:w="699"/>
        <w:gridCol w:w="1567"/>
        <w:gridCol w:w="726"/>
        <w:gridCol w:w="529"/>
        <w:gridCol w:w="882"/>
        <w:gridCol w:w="909"/>
        <w:gridCol w:w="2460"/>
        <w:gridCol w:w="1423"/>
      </w:tblGrid>
      <w:tr>
        <w:tblPrEx>
          <w:tblCellMar>
            <w:top w:w="0" w:type="dxa"/>
            <w:left w:w="108" w:type="dxa"/>
            <w:bottom w:w="0" w:type="dxa"/>
            <w:right w:w="108" w:type="dxa"/>
          </w:tblCellMar>
        </w:tblPrEx>
        <w:trPr>
          <w:trHeight w:val="163" w:hRule="atLeast"/>
        </w:trPr>
        <w:tc>
          <w:tcPr>
            <w:tcW w:w="9195" w:type="dxa"/>
            <w:gridSpan w:val="8"/>
            <w:tcBorders>
              <w:top w:val="nil"/>
              <w:left w:val="nil"/>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2021年宁津惠宁投资控股集团有限公司</w:t>
            </w:r>
            <w:r>
              <w:rPr>
                <w:rFonts w:hint="eastAsia" w:ascii="宋体" w:hAnsi="宋体" w:eastAsia="宋体" w:cs="宋体"/>
                <w:b/>
                <w:bCs/>
                <w:i w:val="0"/>
                <w:iCs w:val="0"/>
                <w:color w:val="000000"/>
                <w:kern w:val="0"/>
                <w:sz w:val="36"/>
                <w:szCs w:val="36"/>
                <w:u w:val="none"/>
                <w:lang w:val="en-US" w:eastAsia="zh-CN" w:bidi="ar"/>
              </w:rPr>
              <w:br w:type="textWrapping"/>
            </w:r>
            <w:r>
              <w:rPr>
                <w:rFonts w:hint="eastAsia" w:ascii="宋体" w:hAnsi="宋体" w:eastAsia="宋体" w:cs="宋体"/>
                <w:b/>
                <w:bCs/>
                <w:i w:val="0"/>
                <w:iCs w:val="0"/>
                <w:color w:val="000000"/>
                <w:kern w:val="0"/>
                <w:sz w:val="36"/>
                <w:szCs w:val="36"/>
                <w:u w:val="none"/>
                <w:lang w:val="en-US" w:eastAsia="zh-CN" w:bidi="ar"/>
              </w:rPr>
              <w:t>公开招聘人员岗位计划表</w:t>
            </w:r>
          </w:p>
        </w:tc>
      </w:tr>
      <w:tr>
        <w:tblPrEx>
          <w:tblCellMar>
            <w:top w:w="0" w:type="dxa"/>
            <w:left w:w="108" w:type="dxa"/>
            <w:bottom w:w="0" w:type="dxa"/>
            <w:right w:w="108" w:type="dxa"/>
          </w:tblCellMar>
        </w:tblPrEx>
        <w:trPr>
          <w:trHeight w:val="2186" w:hRule="atLeast"/>
        </w:trPr>
        <w:tc>
          <w:tcPr>
            <w:tcW w:w="699" w:type="dxa"/>
            <w:tcBorders>
              <w:top w:val="single" w:color="000000" w:sz="4" w:space="0"/>
              <w:left w:val="single" w:color="000000" w:sz="4" w:space="0"/>
              <w:bottom w:val="single" w:color="000000" w:sz="4" w:space="0"/>
              <w:right w:val="single" w:color="000000" w:sz="4" w:space="0"/>
            </w:tcBorders>
            <w:noWrap/>
            <w:textDirection w:val="tbRlV"/>
            <w:vAlign w:val="center"/>
          </w:tcPr>
          <w:p>
            <w:pPr>
              <w:keepNext w:val="0"/>
              <w:keepLines w:val="0"/>
              <w:widowControl/>
              <w:suppressLineNumbers w:val="0"/>
              <w:jc w:val="center"/>
              <w:textAlignment w:val="center"/>
              <w:rPr>
                <w:rFonts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序号</w:t>
            </w:r>
          </w:p>
        </w:tc>
        <w:tc>
          <w:tcPr>
            <w:tcW w:w="1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招聘单位</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岗位名称</w:t>
            </w:r>
          </w:p>
        </w:tc>
        <w:tc>
          <w:tcPr>
            <w:tcW w:w="5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招聘人数</w:t>
            </w:r>
          </w:p>
        </w:tc>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学历</w:t>
            </w:r>
          </w:p>
        </w:tc>
        <w:tc>
          <w:tcPr>
            <w:tcW w:w="9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专业</w:t>
            </w:r>
          </w:p>
        </w:tc>
        <w:tc>
          <w:tcPr>
            <w:tcW w:w="24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8"/>
                <w:szCs w:val="28"/>
                <w:u w:val="none"/>
              </w:rPr>
            </w:pPr>
            <w:bookmarkStart w:id="0" w:name="_GoBack"/>
            <w:bookmarkEnd w:id="0"/>
            <w:r>
              <w:rPr>
                <w:rFonts w:hint="eastAsia" w:ascii="仿宋" w:hAnsi="仿宋" w:eastAsia="仿宋" w:cs="仿宋"/>
                <w:b/>
                <w:bCs/>
                <w:i w:val="0"/>
                <w:iCs w:val="0"/>
                <w:color w:val="000000"/>
                <w:kern w:val="0"/>
                <w:sz w:val="28"/>
                <w:szCs w:val="28"/>
                <w:u w:val="none"/>
                <w:lang w:val="en-US" w:eastAsia="zh-CN" w:bidi="ar"/>
              </w:rPr>
              <w:t>岗位条件</w:t>
            </w:r>
          </w:p>
        </w:tc>
        <w:tc>
          <w:tcPr>
            <w:tcW w:w="14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工作地点</w:t>
            </w:r>
          </w:p>
        </w:tc>
      </w:tr>
      <w:tr>
        <w:tblPrEx>
          <w:tblCellMar>
            <w:top w:w="0" w:type="dxa"/>
            <w:left w:w="108" w:type="dxa"/>
            <w:bottom w:w="0" w:type="dxa"/>
            <w:right w:w="108" w:type="dxa"/>
          </w:tblCellMar>
        </w:tblPrEx>
        <w:trPr>
          <w:trHeight w:val="3320" w:hRule="atLeast"/>
        </w:trPr>
        <w:tc>
          <w:tcPr>
            <w:tcW w:w="6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宁津润嘉置业有限公司</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工程造价专业技术人员</w:t>
            </w:r>
          </w:p>
        </w:tc>
        <w:tc>
          <w:tcPr>
            <w:tcW w:w="5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8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全日制普通高校专科及以上学历</w:t>
            </w:r>
          </w:p>
        </w:tc>
        <w:tc>
          <w:tcPr>
            <w:tcW w:w="9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工程造价等相关专业</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2"/>
              </w:numPr>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熟悉土建/安装工程预结算编制和工程造价管控，具有一定的组织协调能力和疑难问题排除能力；</w:t>
            </w:r>
          </w:p>
          <w:p>
            <w:pPr>
              <w:keepNext w:val="0"/>
              <w:keepLines w:val="0"/>
              <w:widowControl/>
              <w:numPr>
                <w:ilvl w:val="0"/>
                <w:numId w:val="2"/>
              </w:numPr>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具有相关工作经验或造价师（员）执业资格者优先；有丰富工程造价经验者可放宽招聘条件。</w:t>
            </w:r>
          </w:p>
        </w:tc>
        <w:tc>
          <w:tcPr>
            <w:tcW w:w="14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宁津润嘉置业有限公司</w:t>
            </w:r>
          </w:p>
        </w:tc>
      </w:tr>
      <w:tr>
        <w:tblPrEx>
          <w:tblCellMar>
            <w:top w:w="0" w:type="dxa"/>
            <w:left w:w="108" w:type="dxa"/>
            <w:bottom w:w="0" w:type="dxa"/>
            <w:right w:w="108" w:type="dxa"/>
          </w:tblCellMar>
        </w:tblPrEx>
        <w:trPr>
          <w:trHeight w:val="3692" w:hRule="atLeast"/>
        </w:trPr>
        <w:tc>
          <w:tcPr>
            <w:tcW w:w="6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宁津润嘉置业有限公司</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工程技术人员</w:t>
            </w:r>
          </w:p>
        </w:tc>
        <w:tc>
          <w:tcPr>
            <w:tcW w:w="5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8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全日制普通高校专科及以上学历</w:t>
            </w:r>
          </w:p>
        </w:tc>
        <w:tc>
          <w:tcPr>
            <w:tcW w:w="9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土木、市政、建筑安装工程等相关专业</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3"/>
              </w:numPr>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熟悉土建或建筑安装或市政工程的施工管理，具有一定的组织协调能力和疑难问题排除能力；</w:t>
            </w:r>
          </w:p>
          <w:p>
            <w:pPr>
              <w:keepNext w:val="0"/>
              <w:keepLines w:val="0"/>
              <w:widowControl/>
              <w:numPr>
                <w:ilvl w:val="0"/>
                <w:numId w:val="3"/>
              </w:numPr>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具有相关工作经验或建造师资格或工程技术相关专业中级职称者优先；有丰富工程技术经验者可放宽招聘条件。</w:t>
            </w:r>
          </w:p>
        </w:tc>
        <w:tc>
          <w:tcPr>
            <w:tcW w:w="14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宁津润嘉置业有限公司</w:t>
            </w:r>
          </w:p>
        </w:tc>
      </w:tr>
      <w:tr>
        <w:tblPrEx>
          <w:tblCellMar>
            <w:top w:w="0" w:type="dxa"/>
            <w:left w:w="108" w:type="dxa"/>
            <w:bottom w:w="0" w:type="dxa"/>
            <w:right w:w="108" w:type="dxa"/>
          </w:tblCellMar>
        </w:tblPrEx>
        <w:trPr>
          <w:trHeight w:val="2072" w:hRule="atLeast"/>
        </w:trPr>
        <w:tc>
          <w:tcPr>
            <w:tcW w:w="6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1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宁津县通达工程有限公司</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材料检验采购人员</w:t>
            </w:r>
          </w:p>
        </w:tc>
        <w:tc>
          <w:tcPr>
            <w:tcW w:w="5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全日制普通高校专科及以上学历</w:t>
            </w:r>
          </w:p>
        </w:tc>
        <w:tc>
          <w:tcPr>
            <w:tcW w:w="9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不限</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1、年龄35周岁以下;                  2、能够熟悉利用办公统计软件并具有一定的组织协调能力。</w:t>
            </w:r>
          </w:p>
        </w:tc>
        <w:tc>
          <w:tcPr>
            <w:tcW w:w="14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宁津县通达工程有限公司</w:t>
            </w:r>
          </w:p>
        </w:tc>
      </w:tr>
      <w:tr>
        <w:tblPrEx>
          <w:tblCellMar>
            <w:top w:w="0" w:type="dxa"/>
            <w:left w:w="108" w:type="dxa"/>
            <w:bottom w:w="0" w:type="dxa"/>
            <w:right w:w="108" w:type="dxa"/>
          </w:tblCellMar>
        </w:tblPrEx>
        <w:trPr>
          <w:trHeight w:val="3016" w:hRule="atLeast"/>
        </w:trPr>
        <w:tc>
          <w:tcPr>
            <w:tcW w:w="6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宁津县通达工程有限公司</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工程测量技术人员</w:t>
            </w:r>
          </w:p>
        </w:tc>
        <w:tc>
          <w:tcPr>
            <w:tcW w:w="5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8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全日制普通高校专科及以上学历</w:t>
            </w:r>
          </w:p>
        </w:tc>
        <w:tc>
          <w:tcPr>
            <w:tcW w:w="9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土木、公路工程相关专业</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1、年龄35周岁以下;                  2、土木、公路工程相关专业；                          3、能够熟练使用水准仪、经纬仪、全站仪、GPS等测量仪器，能够使用office、CAD等软件。</w:t>
            </w:r>
          </w:p>
        </w:tc>
        <w:tc>
          <w:tcPr>
            <w:tcW w:w="14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宁津县通达工程有限公司</w:t>
            </w:r>
          </w:p>
        </w:tc>
      </w:tr>
      <w:tr>
        <w:tblPrEx>
          <w:tblCellMar>
            <w:top w:w="0" w:type="dxa"/>
            <w:left w:w="108" w:type="dxa"/>
            <w:bottom w:w="0" w:type="dxa"/>
            <w:right w:w="108" w:type="dxa"/>
          </w:tblCellMar>
        </w:tblPrEx>
        <w:trPr>
          <w:trHeight w:val="2137" w:hRule="atLeast"/>
        </w:trPr>
        <w:tc>
          <w:tcPr>
            <w:tcW w:w="6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1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宁津县通达工程有限公司</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公路机械操作及维修人员</w:t>
            </w:r>
          </w:p>
        </w:tc>
        <w:tc>
          <w:tcPr>
            <w:tcW w:w="5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8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初中及以上学历</w:t>
            </w:r>
          </w:p>
        </w:tc>
        <w:tc>
          <w:tcPr>
            <w:tcW w:w="9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不限</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1、年龄45周岁以下；                 2、熟悉公路机械的基本操作，具有相关工作经验者优先。</w:t>
            </w:r>
          </w:p>
        </w:tc>
        <w:tc>
          <w:tcPr>
            <w:tcW w:w="14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宁津县通达工程有限公司</w:t>
            </w:r>
          </w:p>
        </w:tc>
      </w:tr>
      <w:tr>
        <w:tblPrEx>
          <w:tblCellMar>
            <w:top w:w="0" w:type="dxa"/>
            <w:left w:w="108" w:type="dxa"/>
            <w:bottom w:w="0" w:type="dxa"/>
            <w:right w:w="108" w:type="dxa"/>
          </w:tblCellMar>
        </w:tblPrEx>
        <w:trPr>
          <w:trHeight w:val="6563" w:hRule="atLeast"/>
        </w:trPr>
        <w:tc>
          <w:tcPr>
            <w:tcW w:w="6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c>
          <w:tcPr>
            <w:tcW w:w="1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宁津惠宁投资控股集团有限公司</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法务经理</w:t>
            </w:r>
          </w:p>
        </w:tc>
        <w:tc>
          <w:tcPr>
            <w:tcW w:w="5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全日制本科及以上学历</w:t>
            </w:r>
          </w:p>
        </w:tc>
        <w:tc>
          <w:tcPr>
            <w:tcW w:w="9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法律类相关专业</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1.40周岁以下，身体健康，作风优良，具有良好的职业素养；       2.具有3年以上法律相关工作经验，取得法律职业资格证书的优先；                                                          3.精通公司法、民法典、劳动法等相关法律法规,能独立开展合同拟写、审查、法律咨询、法律风险管控等相关工作，具有较强的沟通表达、业务处理和业务外联等能力；                              4.具有较强的责任心、风险意识、团队意识和服务意识。</w:t>
            </w:r>
          </w:p>
        </w:tc>
        <w:tc>
          <w:tcPr>
            <w:tcW w:w="14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宁津惠宁投资控股集团有限公司</w:t>
            </w:r>
          </w:p>
        </w:tc>
      </w:tr>
      <w:tr>
        <w:tblPrEx>
          <w:tblCellMar>
            <w:top w:w="0" w:type="dxa"/>
            <w:left w:w="108" w:type="dxa"/>
            <w:bottom w:w="0" w:type="dxa"/>
            <w:right w:w="108" w:type="dxa"/>
          </w:tblCellMar>
        </w:tblPrEx>
        <w:trPr>
          <w:trHeight w:val="1865" w:hRule="atLeast"/>
        </w:trPr>
        <w:tc>
          <w:tcPr>
            <w:tcW w:w="6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w:t>
            </w:r>
          </w:p>
        </w:tc>
        <w:tc>
          <w:tcPr>
            <w:tcW w:w="1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宁津惠宁投资控股集团有限公司</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法务专员</w:t>
            </w:r>
          </w:p>
        </w:tc>
        <w:tc>
          <w:tcPr>
            <w:tcW w:w="5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全日制本科及以上学历</w:t>
            </w:r>
          </w:p>
        </w:tc>
        <w:tc>
          <w:tcPr>
            <w:tcW w:w="9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法律类相关专业</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1.35周岁以下，身体健康，作风优良，具有良好的职业素养；                                                                                                            2.具有1年以上法律相关工作经验，取得法律职业资格证书的优先；                                                                   3.精通相关法律专业知识；                                                      4.具有较强的逻辑思维能力和应变能力。</w:t>
            </w:r>
          </w:p>
        </w:tc>
        <w:tc>
          <w:tcPr>
            <w:tcW w:w="14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宁津惠宁投资控股集团有限公司</w:t>
            </w:r>
          </w:p>
        </w:tc>
      </w:tr>
      <w:tr>
        <w:tblPrEx>
          <w:tblCellMar>
            <w:top w:w="0" w:type="dxa"/>
            <w:left w:w="108" w:type="dxa"/>
            <w:bottom w:w="0" w:type="dxa"/>
            <w:right w:w="108" w:type="dxa"/>
          </w:tblCellMar>
        </w:tblPrEx>
        <w:trPr>
          <w:trHeight w:val="286" w:hRule="atLeast"/>
        </w:trPr>
        <w:tc>
          <w:tcPr>
            <w:tcW w:w="6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w:t>
            </w:r>
          </w:p>
        </w:tc>
        <w:tc>
          <w:tcPr>
            <w:tcW w:w="1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宁津嘉盛热力有限公司</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化验员</w:t>
            </w:r>
          </w:p>
        </w:tc>
        <w:tc>
          <w:tcPr>
            <w:tcW w:w="5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8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高中/中专及以上学历</w:t>
            </w:r>
          </w:p>
        </w:tc>
        <w:tc>
          <w:tcPr>
            <w:tcW w:w="9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化学、化工</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1.年龄35周岁及以下，女性；</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2.熟悉水质化验和煤质化验优先；</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3.具有相关的资质证书，能独立作业可适当放宽年龄。</w:t>
            </w:r>
          </w:p>
        </w:tc>
        <w:tc>
          <w:tcPr>
            <w:tcW w:w="14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宁津嘉盛热力有限公司</w:t>
            </w:r>
          </w:p>
        </w:tc>
      </w:tr>
      <w:tr>
        <w:tblPrEx>
          <w:tblCellMar>
            <w:top w:w="0" w:type="dxa"/>
            <w:left w:w="108" w:type="dxa"/>
            <w:bottom w:w="0" w:type="dxa"/>
            <w:right w:w="108" w:type="dxa"/>
          </w:tblCellMar>
        </w:tblPrEx>
        <w:trPr>
          <w:trHeight w:val="367" w:hRule="atLeast"/>
        </w:trPr>
        <w:tc>
          <w:tcPr>
            <w:tcW w:w="6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w:t>
            </w:r>
          </w:p>
        </w:tc>
        <w:tc>
          <w:tcPr>
            <w:tcW w:w="1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宁津嘉盛热力有限公司</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值班员</w:t>
            </w:r>
          </w:p>
        </w:tc>
        <w:tc>
          <w:tcPr>
            <w:tcW w:w="5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w:t>
            </w:r>
          </w:p>
        </w:tc>
        <w:tc>
          <w:tcPr>
            <w:tcW w:w="8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高中/中专及以上学历</w:t>
            </w:r>
          </w:p>
        </w:tc>
        <w:tc>
          <w:tcPr>
            <w:tcW w:w="9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不限</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1.年龄40周岁及以下，男性；</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2.具有司炉证者优先。</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3.有水处理、电厂、热源厂工作经验及电工、焊工、检修工等工种持证者优先；</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4.身体健康，无恐高症。</w:t>
            </w:r>
          </w:p>
        </w:tc>
        <w:tc>
          <w:tcPr>
            <w:tcW w:w="14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宁津嘉盛热力有限公司</w:t>
            </w:r>
          </w:p>
        </w:tc>
      </w:tr>
      <w:tr>
        <w:tblPrEx>
          <w:tblCellMar>
            <w:top w:w="0" w:type="dxa"/>
            <w:left w:w="108" w:type="dxa"/>
            <w:bottom w:w="0" w:type="dxa"/>
            <w:right w:w="108" w:type="dxa"/>
          </w:tblCellMar>
        </w:tblPrEx>
        <w:trPr>
          <w:trHeight w:val="489" w:hRule="atLeast"/>
        </w:trPr>
        <w:tc>
          <w:tcPr>
            <w:tcW w:w="6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c>
          <w:tcPr>
            <w:tcW w:w="1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宁津嘉盛热力有限公司</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电仪人员</w:t>
            </w:r>
          </w:p>
        </w:tc>
        <w:tc>
          <w:tcPr>
            <w:tcW w:w="5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8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高中/中专及以上学历</w:t>
            </w:r>
          </w:p>
        </w:tc>
        <w:tc>
          <w:tcPr>
            <w:tcW w:w="9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电气专业及相关专业</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1.年龄40周岁及以下，男性；            2.从事机电、热力、焊接、水电暖等检修相关工作3年以上；                        3.能吃苦耐劳，有团队合作意识者优先考虑；</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4.有注册造价工程师证和二级建造师证（建筑工程专业、市政公用工程专业、机电工程专业）的优先录取。</w:t>
            </w:r>
          </w:p>
        </w:tc>
        <w:tc>
          <w:tcPr>
            <w:tcW w:w="14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宁津嘉盛热力有限公司</w:t>
            </w:r>
          </w:p>
        </w:tc>
      </w:tr>
      <w:tr>
        <w:tblPrEx>
          <w:tblCellMar>
            <w:top w:w="0" w:type="dxa"/>
            <w:left w:w="108" w:type="dxa"/>
            <w:bottom w:w="0" w:type="dxa"/>
            <w:right w:w="108" w:type="dxa"/>
          </w:tblCellMar>
        </w:tblPrEx>
        <w:trPr>
          <w:trHeight w:val="1169" w:hRule="atLeast"/>
        </w:trPr>
        <w:tc>
          <w:tcPr>
            <w:tcW w:w="6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w:t>
            </w:r>
          </w:p>
        </w:tc>
        <w:tc>
          <w:tcPr>
            <w:tcW w:w="1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山东惠宁养老产业发展有限公司</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经营专员</w:t>
            </w:r>
          </w:p>
        </w:tc>
        <w:tc>
          <w:tcPr>
            <w:tcW w:w="5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全日制普通高校专科及以上学历</w:t>
            </w:r>
          </w:p>
        </w:tc>
        <w:tc>
          <w:tcPr>
            <w:tcW w:w="9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不限</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1.年龄35周岁以下；                             2.负责各个养老社区的日常运作，对外活动组织以及宣传、营销工作。</w:t>
            </w:r>
          </w:p>
        </w:tc>
        <w:tc>
          <w:tcPr>
            <w:tcW w:w="14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山东惠宁养老产业发展有限公司</w:t>
            </w:r>
          </w:p>
        </w:tc>
      </w:tr>
      <w:tr>
        <w:tblPrEx>
          <w:tblCellMar>
            <w:top w:w="0" w:type="dxa"/>
            <w:left w:w="108" w:type="dxa"/>
            <w:bottom w:w="0" w:type="dxa"/>
            <w:right w:w="108" w:type="dxa"/>
          </w:tblCellMar>
        </w:tblPrEx>
        <w:trPr>
          <w:trHeight w:val="205" w:hRule="atLeast"/>
        </w:trPr>
        <w:tc>
          <w:tcPr>
            <w:tcW w:w="6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w:t>
            </w:r>
          </w:p>
        </w:tc>
        <w:tc>
          <w:tcPr>
            <w:tcW w:w="1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山东惠宁养老产业发展有限公司</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人资助理</w:t>
            </w:r>
          </w:p>
        </w:tc>
        <w:tc>
          <w:tcPr>
            <w:tcW w:w="5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全日制普通高校专科及以上学历</w:t>
            </w:r>
          </w:p>
        </w:tc>
        <w:tc>
          <w:tcPr>
            <w:tcW w:w="9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不限</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1.年龄35周岁以下；                             2.负责协助经理做好员工培训、入职、转正等工作，负责员工薪酬、社会保险及对接好县人社局以及集团人资工作，明确员工职责和工作标准有相关工作经验者优先。</w:t>
            </w:r>
          </w:p>
        </w:tc>
        <w:tc>
          <w:tcPr>
            <w:tcW w:w="14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山东惠宁养老产业发展有限公司</w:t>
            </w:r>
          </w:p>
        </w:tc>
      </w:tr>
      <w:tr>
        <w:tblPrEx>
          <w:tblCellMar>
            <w:top w:w="0" w:type="dxa"/>
            <w:left w:w="108" w:type="dxa"/>
            <w:bottom w:w="0" w:type="dxa"/>
            <w:right w:w="108" w:type="dxa"/>
          </w:tblCellMar>
        </w:tblPrEx>
        <w:trPr>
          <w:trHeight w:val="537" w:hRule="atLeast"/>
        </w:trPr>
        <w:tc>
          <w:tcPr>
            <w:tcW w:w="2992"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6203"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35人</w:t>
            </w:r>
          </w:p>
        </w:tc>
      </w:tr>
    </w:tbl>
    <w:p>
      <w:r>
        <w:rPr>
          <w:rFonts w:hint="eastAsia" w:ascii="仿宋_GB2312" w:hAnsi="仿宋_GB2312" w:eastAsia="仿宋_GB2312" w:cs="仿宋_GB2312"/>
          <w:b/>
          <w:bCs/>
          <w:i w:val="0"/>
          <w:iCs w:val="0"/>
          <w:caps w:val="0"/>
          <w:color w:val="EC2131"/>
          <w:spacing w:val="8"/>
          <w:sz w:val="32"/>
          <w:szCs w:val="32"/>
          <w:shd w:val="clear" w:color="auto" w:fill="FFFFFF"/>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44A5D4"/>
    <w:multiLevelType w:val="singleLevel"/>
    <w:tmpl w:val="8E44A5D4"/>
    <w:lvl w:ilvl="0" w:tentative="0">
      <w:start w:val="1"/>
      <w:numFmt w:val="decimal"/>
      <w:lvlText w:val="%1."/>
      <w:lvlJc w:val="left"/>
      <w:pPr>
        <w:tabs>
          <w:tab w:val="left" w:pos="312"/>
        </w:tabs>
      </w:pPr>
    </w:lvl>
  </w:abstractNum>
  <w:abstractNum w:abstractNumId="1">
    <w:nsid w:val="1DA216F0"/>
    <w:multiLevelType w:val="multilevel"/>
    <w:tmpl w:val="1DA216F0"/>
    <w:lvl w:ilvl="0" w:tentative="0">
      <w:start w:val="1"/>
      <w:numFmt w:val="chineseCountingThousand"/>
      <w:pStyle w:val="3"/>
      <w:lvlText w:val="第%1章　"/>
      <w:lvlJc w:val="left"/>
      <w:pPr>
        <w:tabs>
          <w:tab w:val="left" w:pos="1440"/>
        </w:tabs>
        <w:ind w:left="720" w:hanging="720"/>
      </w:pPr>
      <w:rPr>
        <w:rFonts w:hint="eastAsia"/>
        <w:sz w:val="32"/>
      </w:rPr>
    </w:lvl>
    <w:lvl w:ilvl="1" w:tentative="0">
      <w:start w:val="1"/>
      <w:numFmt w:val="lowerRoman"/>
      <w:lvlText w:val="(%2)"/>
      <w:lvlJc w:val="left"/>
      <w:pPr>
        <w:tabs>
          <w:tab w:val="left" w:pos="861"/>
        </w:tabs>
        <w:ind w:left="861" w:hanging="720"/>
      </w:pPr>
      <w:rPr>
        <w:rFonts w:hint="eastAsia"/>
      </w:rPr>
    </w:lvl>
    <w:lvl w:ilvl="2" w:tentative="0">
      <w:start w:val="1"/>
      <w:numFmt w:val="lowerLetter"/>
      <w:lvlText w:val="(%3)"/>
      <w:lvlJc w:val="left"/>
      <w:pPr>
        <w:tabs>
          <w:tab w:val="left" w:pos="1335"/>
        </w:tabs>
        <w:ind w:left="1335" w:hanging="495"/>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3CEC723E"/>
    <w:multiLevelType w:val="singleLevel"/>
    <w:tmpl w:val="3CEC723E"/>
    <w:lvl w:ilvl="0" w:tentative="0">
      <w:start w:val="1"/>
      <w:numFmt w:val="decimal"/>
      <w:lvlText w:val="%1."/>
      <w:lvlJc w:val="left"/>
      <w:pPr>
        <w:tabs>
          <w:tab w:val="left" w:pos="312"/>
        </w:tabs>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7F3ACC"/>
    <w:rsid w:val="2B014B29"/>
    <w:rsid w:val="597F3A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uiPriority w:val="0"/>
    <w:rPr>
      <w:rFonts w:ascii="仿宋_GB2312" w:hAnsi="Times New Roman" w:eastAsia="仿宋_GB2312"/>
      <w:sz w:val="30"/>
      <w:szCs w:val="20"/>
    </w:rPr>
  </w:style>
  <w:style w:type="paragraph" w:styleId="3">
    <w:name w:val="Body Text 2"/>
    <w:basedOn w:val="1"/>
    <w:qFormat/>
    <w:uiPriority w:val="0"/>
    <w:pPr>
      <w:widowControl/>
      <w:numPr>
        <w:ilvl w:val="0"/>
        <w:numId w:val="1"/>
      </w:numPr>
      <w:tabs>
        <w:tab w:val="clear" w:pos="1440"/>
      </w:tabs>
      <w:spacing w:beforeLines="50" w:line="336" w:lineRule="auto"/>
      <w:ind w:left="0" w:firstLine="0"/>
    </w:pPr>
    <w:rPr>
      <w:rFonts w:ascii="Times New Roman" w:hAnsi="Times New Roman" w:eastAsia="黑体"/>
      <w:kern w:val="0"/>
      <w:szCs w:val="20"/>
      <w:lang w:val="en-GB"/>
    </w:rPr>
  </w:style>
  <w:style w:type="paragraph" w:styleId="4">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2021-09-29T08:35:00Z</dcterms:created>
  <dc:creator>朋友都说让我起一个阳光点的名字</dc:creator>
  <cp:lastModifiedBy>雪吻之泪</cp:lastModifiedBy>
  <dcterms:modified xsi:type="dcterms:W3CDTF">2021-09-30T01:46:07Z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E07AB9D35DDE48DAA10CD36CBB003B70</vt:lpwstr>
  </property>
</Properties>
</file>