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left="0" w:leftChars="0" w:right="0" w:rightChars="0"/>
        <w:jc w:val="center"/>
        <w:outlineLvl w:val="9"/>
        <w:rPr>
          <w:rFonts w:hint="eastAsia" w:ascii="宋体" w:hAnsi="宋体" w:eastAsia="宋体" w:cs="宋体"/>
          <w:b/>
          <w:bCs/>
          <w:sz w:val="36"/>
          <w:szCs w:val="36"/>
          <w:highlight w:val="none"/>
          <w:lang w:val="en-US" w:eastAsia="zh-CN"/>
        </w:rPr>
      </w:pPr>
      <w:r>
        <w:rPr>
          <w:rFonts w:hint="eastAsia" w:ascii="宋体" w:hAnsi="宋体" w:cs="宋体"/>
          <w:b/>
          <w:bCs/>
          <w:sz w:val="36"/>
          <w:szCs w:val="36"/>
          <w:highlight w:val="none"/>
          <w:lang w:val="en-US" w:eastAsia="zh-CN"/>
        </w:rPr>
        <w:t>中电投（深圳）能源发展</w:t>
      </w:r>
      <w:r>
        <w:rPr>
          <w:rFonts w:hint="eastAsia" w:ascii="宋体" w:hAnsi="宋体" w:eastAsia="宋体" w:cs="宋体"/>
          <w:b/>
          <w:bCs/>
          <w:sz w:val="36"/>
          <w:szCs w:val="36"/>
          <w:highlight w:val="none"/>
          <w:lang w:val="en-US" w:eastAsia="zh-CN"/>
        </w:rPr>
        <w:t>有限公司招聘岗位任职要求</w:t>
      </w:r>
    </w:p>
    <w:tbl>
      <w:tblPr>
        <w:tblStyle w:val="8"/>
        <w:tblW w:w="13960" w:type="dxa"/>
        <w:tblInd w:w="0" w:type="dxa"/>
        <w:tblLayout w:type="fixed"/>
        <w:tblCellMar>
          <w:top w:w="0" w:type="dxa"/>
          <w:left w:w="0" w:type="dxa"/>
          <w:bottom w:w="0" w:type="dxa"/>
          <w:right w:w="0" w:type="dxa"/>
        </w:tblCellMar>
      </w:tblPr>
      <w:tblGrid>
        <w:gridCol w:w="659"/>
        <w:gridCol w:w="2"/>
        <w:gridCol w:w="754"/>
        <w:gridCol w:w="5"/>
        <w:gridCol w:w="1132"/>
        <w:gridCol w:w="6"/>
        <w:gridCol w:w="5189"/>
        <w:gridCol w:w="6213"/>
      </w:tblGrid>
      <w:tr>
        <w:tblPrEx>
          <w:tblLayout w:type="fixed"/>
          <w:tblCellMar>
            <w:top w:w="0" w:type="dxa"/>
            <w:left w:w="0" w:type="dxa"/>
            <w:bottom w:w="0" w:type="dxa"/>
            <w:right w:w="0" w:type="dxa"/>
          </w:tblCellMar>
        </w:tblPrEx>
        <w:trPr>
          <w:trHeight w:val="345" w:hRule="atLeast"/>
          <w:tblHeader/>
        </w:trPr>
        <w:tc>
          <w:tcPr>
            <w:tcW w:w="659" w:type="dxa"/>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highlight w:val="none"/>
                <w:u w:val="none"/>
              </w:rPr>
            </w:pPr>
            <w:r>
              <w:rPr>
                <w:rFonts w:hint="eastAsia" w:ascii="仿宋_GB2312" w:hAnsi="仿宋_GB2312" w:eastAsia="仿宋_GB2312" w:cs="仿宋_GB2312"/>
                <w:b/>
                <w:i w:val="0"/>
                <w:color w:val="000000"/>
                <w:kern w:val="0"/>
                <w:sz w:val="28"/>
                <w:szCs w:val="28"/>
                <w:highlight w:val="none"/>
                <w:u w:val="none"/>
                <w:lang w:val="en-US" w:eastAsia="zh-CN" w:bidi="ar"/>
              </w:rPr>
              <w:t>序号</w:t>
            </w:r>
          </w:p>
        </w:tc>
        <w:tc>
          <w:tcPr>
            <w:tcW w:w="756" w:type="dxa"/>
            <w:gridSpan w:val="2"/>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highlight w:val="none"/>
                <w:u w:val="none"/>
              </w:rPr>
            </w:pPr>
            <w:r>
              <w:rPr>
                <w:rFonts w:hint="eastAsia" w:ascii="仿宋_GB2312" w:hAnsi="仿宋_GB2312" w:eastAsia="仿宋_GB2312" w:cs="仿宋_GB2312"/>
                <w:b/>
                <w:i w:val="0"/>
                <w:color w:val="000000"/>
                <w:kern w:val="0"/>
                <w:sz w:val="28"/>
                <w:szCs w:val="28"/>
                <w:highlight w:val="none"/>
                <w:u w:val="none"/>
                <w:lang w:val="en-US" w:eastAsia="zh-CN" w:bidi="ar"/>
              </w:rPr>
              <w:t>部门</w:t>
            </w:r>
          </w:p>
        </w:tc>
        <w:tc>
          <w:tcPr>
            <w:tcW w:w="1137" w:type="dxa"/>
            <w:gridSpan w:val="2"/>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highlight w:val="none"/>
                <w:u w:val="none"/>
              </w:rPr>
            </w:pPr>
            <w:r>
              <w:rPr>
                <w:rFonts w:hint="eastAsia" w:ascii="仿宋_GB2312" w:hAnsi="仿宋_GB2312" w:eastAsia="仿宋_GB2312" w:cs="仿宋_GB2312"/>
                <w:b/>
                <w:i w:val="0"/>
                <w:color w:val="000000"/>
                <w:kern w:val="0"/>
                <w:sz w:val="28"/>
                <w:szCs w:val="28"/>
                <w:highlight w:val="none"/>
                <w:u w:val="none"/>
                <w:lang w:val="en-US" w:eastAsia="zh-CN" w:bidi="ar"/>
              </w:rPr>
              <w:t>岗位</w:t>
            </w:r>
          </w:p>
        </w:tc>
        <w:tc>
          <w:tcPr>
            <w:tcW w:w="5195" w:type="dxa"/>
            <w:gridSpan w:val="2"/>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highlight w:val="none"/>
                <w:u w:val="none"/>
              </w:rPr>
            </w:pPr>
            <w:r>
              <w:rPr>
                <w:rFonts w:hint="eastAsia" w:ascii="仿宋_GB2312" w:hAnsi="仿宋_GB2312" w:eastAsia="仿宋_GB2312" w:cs="仿宋_GB2312"/>
                <w:b/>
                <w:i w:val="0"/>
                <w:color w:val="000000"/>
                <w:kern w:val="0"/>
                <w:sz w:val="28"/>
                <w:szCs w:val="28"/>
                <w:highlight w:val="none"/>
                <w:u w:val="none"/>
                <w:lang w:val="en-US" w:eastAsia="zh-CN" w:bidi="ar"/>
              </w:rPr>
              <w:t>主要职责</w:t>
            </w:r>
          </w:p>
        </w:tc>
        <w:tc>
          <w:tcPr>
            <w:tcW w:w="6213" w:type="dxa"/>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8"/>
                <w:szCs w:val="28"/>
                <w:highlight w:val="none"/>
                <w:u w:val="none"/>
              </w:rPr>
            </w:pPr>
            <w:r>
              <w:rPr>
                <w:rFonts w:hint="eastAsia" w:ascii="仿宋_GB2312" w:hAnsi="仿宋_GB2312" w:eastAsia="仿宋_GB2312" w:cs="仿宋_GB2312"/>
                <w:b/>
                <w:i w:val="0"/>
                <w:color w:val="000000"/>
                <w:kern w:val="0"/>
                <w:sz w:val="28"/>
                <w:szCs w:val="28"/>
                <w:highlight w:val="none"/>
                <w:u w:val="none"/>
                <w:lang w:val="en-US" w:eastAsia="zh-CN" w:bidi="ar"/>
              </w:rPr>
              <w:t>任职资格</w:t>
            </w:r>
          </w:p>
        </w:tc>
      </w:tr>
      <w:tr>
        <w:tblPrEx>
          <w:tblLayout w:type="fixed"/>
          <w:tblCellMar>
            <w:top w:w="0" w:type="dxa"/>
            <w:left w:w="0" w:type="dxa"/>
            <w:bottom w:w="0" w:type="dxa"/>
            <w:right w:w="0" w:type="dxa"/>
          </w:tblCellMar>
        </w:tblPrEx>
        <w:trPr>
          <w:trHeight w:val="3068" w:hRule="atLeast"/>
        </w:trPr>
        <w:tc>
          <w:tcPr>
            <w:tcW w:w="659"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1</w:t>
            </w:r>
          </w:p>
        </w:tc>
        <w:tc>
          <w:tcPr>
            <w:tcW w:w="756" w:type="dxa"/>
            <w:gridSpan w:val="2"/>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发展部</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highlight w:val="none"/>
                <w:u w:val="none"/>
                <w:lang w:val="en-US" w:eastAsia="zh-CN" w:bidi="ar"/>
              </w:rPr>
            </w:pPr>
          </w:p>
        </w:tc>
        <w:tc>
          <w:tcPr>
            <w:tcW w:w="1137" w:type="dxa"/>
            <w:gridSpan w:val="2"/>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项目主管（氢能方向）</w:t>
            </w:r>
          </w:p>
        </w:tc>
        <w:tc>
          <w:tcPr>
            <w:tcW w:w="5195" w:type="dxa"/>
            <w:gridSpan w:val="2"/>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1.负责综合智慧能源、新能源等项目客户挖掘、投资环境考察、项目投资可行性分析，以及前期开发阶段基础资料收集、调研等前期工作；</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2.在部门负责人领导下，协助负责人组织和协调项目初可研、开发权获取、项目收并购、项目备案、核准等工作。</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3.负责战略合作框架协议、项目合作开发协议的起草、商谈等工作；</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4.负责协调解决项目开发过程中的各类问题及完成上级安排的其它工作。</w:t>
            </w:r>
          </w:p>
        </w:tc>
        <w:tc>
          <w:tcPr>
            <w:tcW w:w="621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1.学历要求：本科及以上学历。电力系统、化工等相关专业。</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2.年龄及身体条件：不超过35周岁，身体健康；</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3.工作经历：具有项目前期或工程、电力生产技术管理5年以上相关工作经历；</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4.具有中级职称或以上相关资格证书优先考虑；</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5.具有较强的沟通协调和写作能力；</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6.具有综合智慧能源、新能源等相关项目开发、氢能方向相关专业学习和工作经验者优先。</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p>
        </w:tc>
      </w:tr>
      <w:tr>
        <w:tblPrEx>
          <w:tblLayout w:type="fixed"/>
          <w:tblCellMar>
            <w:top w:w="0" w:type="dxa"/>
            <w:left w:w="0" w:type="dxa"/>
            <w:bottom w:w="0" w:type="dxa"/>
            <w:right w:w="0" w:type="dxa"/>
          </w:tblCellMar>
        </w:tblPrEx>
        <w:trPr>
          <w:trHeight w:val="90" w:hRule="atLeast"/>
        </w:trPr>
        <w:tc>
          <w:tcPr>
            <w:tcW w:w="659" w:type="dxa"/>
            <w:tcBorders>
              <w:top w:val="single" w:color="auto"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2</w:t>
            </w:r>
          </w:p>
        </w:tc>
        <w:tc>
          <w:tcPr>
            <w:tcW w:w="756" w:type="dxa"/>
            <w:gridSpan w:val="2"/>
            <w:tcBorders>
              <w:top w:val="single" w:color="auto"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综合部（党群分部）</w:t>
            </w:r>
          </w:p>
        </w:tc>
        <w:tc>
          <w:tcPr>
            <w:tcW w:w="1137" w:type="dxa"/>
            <w:gridSpan w:val="2"/>
            <w:tcBorders>
              <w:top w:val="single" w:color="auto"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党工团</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主管</w:t>
            </w:r>
          </w:p>
        </w:tc>
        <w:tc>
          <w:tcPr>
            <w:tcW w:w="5195" w:type="dxa"/>
            <w:gridSpan w:val="2"/>
            <w:tcBorders>
              <w:top w:val="single" w:color="auto"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1.落实党和国家、上级党组织的方针政策、规章制度、指示精神；落实上级组织的指示和工作安排、工作会议精神，拟订公司党支部年度工作安排。</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2.承办与党群相关的党支部会议、党支部中心组学习筹备、会议记录、纪要整理等工作，承办党建活动。承办党建及相关工作总结的编写、上报工作。承办党组织、党员统计，党费的收缴、使用及管理工作。承办公司党群宣传工作；承办内部文化建设活动。</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3.落实集团公司工委、广东公司团工委的指示精神和工作安排，承担执行工作；承办团青组织建设及日常工作；承办先进优秀团员、优秀团干的评选、上报工作；承办团青主题教育活动、团青志愿服务等社会公益活动。</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4.承办公司劳动模范、先进集体和先进个人评选工作；承办员工关爱、慰问、健康体检等生活福利工作</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5.完成上级领导交办的其他工作任务。</w:t>
            </w:r>
          </w:p>
        </w:tc>
        <w:tc>
          <w:tcPr>
            <w:tcW w:w="6213" w:type="dxa"/>
            <w:tcBorders>
              <w:top w:val="single" w:color="auto"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1.政治面貌：中共党员；</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2.学历要求：本科及以上学历。政工、文秘及相近专业；</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3.年龄及身体条件：不超过35周岁，身体健康；</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4.熟悉党群工作基本流程；具备一定写作能力；熟悉企业文化建设、宣传、编辑知识；有一定的活动策划、组织协调能力；熟练掌握办公软件。具有良好的沟通能力、协调能力和职业道德操守，有很强的责任心、事业心；</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5.从事工作满3年及以上，其中党群工作管理或相近专业工作2年及以上；有基层单位或生产一线工作经历；</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6.具有中级职称或以上相关资格证书优先考虑。</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p>
        </w:tc>
      </w:tr>
      <w:tr>
        <w:tblPrEx>
          <w:tblLayout w:type="fixed"/>
          <w:tblCellMar>
            <w:top w:w="0" w:type="dxa"/>
            <w:left w:w="0" w:type="dxa"/>
            <w:bottom w:w="0" w:type="dxa"/>
            <w:right w:w="0" w:type="dxa"/>
          </w:tblCellMar>
        </w:tblPrEx>
        <w:trPr>
          <w:trHeight w:val="1926" w:hRule="atLeast"/>
        </w:trPr>
        <w:tc>
          <w:tcPr>
            <w:tcW w:w="659"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3</w:t>
            </w:r>
          </w:p>
        </w:tc>
        <w:tc>
          <w:tcPr>
            <w:tcW w:w="756" w:type="dxa"/>
            <w:gridSpan w:val="2"/>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综合部（党群分部）</w:t>
            </w:r>
          </w:p>
        </w:tc>
        <w:tc>
          <w:tcPr>
            <w:tcW w:w="1137" w:type="dxa"/>
            <w:gridSpan w:val="2"/>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人力资源主管</w:t>
            </w:r>
          </w:p>
        </w:tc>
        <w:tc>
          <w:tcPr>
            <w:tcW w:w="5195" w:type="dxa"/>
            <w:gridSpan w:val="2"/>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1.制定人力资源供给与发展规划，组织开展人员招聘、培训、绩效管理、薪酬福利、员工关系等工作；</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2.完成领导交办的其他事项。</w:t>
            </w:r>
          </w:p>
        </w:tc>
        <w:tc>
          <w:tcPr>
            <w:tcW w:w="621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1.学历要求：本科及以上学历。人力资源或管理类相关专业；</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2.年龄及身体条件：不超过35周岁，身体健康；</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3.具有3年以上人力资源管理经验，熟悉招聘、培训、薪酬管理、绩效管理、员工关系管理，具有国有企业或中大型企业相关工作经历优先。</w:t>
            </w:r>
          </w:p>
        </w:tc>
      </w:tr>
      <w:tr>
        <w:tblPrEx>
          <w:tblLayout w:type="fixed"/>
          <w:tblCellMar>
            <w:top w:w="0" w:type="dxa"/>
            <w:left w:w="0" w:type="dxa"/>
            <w:bottom w:w="0" w:type="dxa"/>
            <w:right w:w="0" w:type="dxa"/>
          </w:tblCellMar>
        </w:tblPrEx>
        <w:trPr>
          <w:trHeight w:val="700" w:hRule="atLeast"/>
        </w:trPr>
        <w:tc>
          <w:tcPr>
            <w:tcW w:w="661" w:type="dxa"/>
            <w:gridSpan w:val="2"/>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4</w:t>
            </w:r>
          </w:p>
        </w:tc>
        <w:tc>
          <w:tcPr>
            <w:tcW w:w="759" w:type="dxa"/>
            <w:gridSpan w:val="2"/>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计划财务部</w:t>
            </w:r>
          </w:p>
        </w:tc>
        <w:tc>
          <w:tcPr>
            <w:tcW w:w="1138" w:type="dxa"/>
            <w:gridSpan w:val="2"/>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会计主管</w:t>
            </w:r>
          </w:p>
        </w:tc>
        <w:tc>
          <w:tcPr>
            <w:tcW w:w="5189"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在部门主任领导下，承担代管基建单位财务管理、全面预算管理、税务筹划、会计核算、会计报表、财务决算、信息化建设及本部会计核算等方面工作，确保各项工作按计划有序开展。</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1.承担公司基建财务管理工作，承办代管基建单位财务管理工作。</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2.承办投资核算及工程造价控制等管理工作。</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3.承担公司全面预算管理工作。</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4.编制年度预算、月（季）度滚动预算，做好年度利润预测，配合编制综合计划中的有关财务指标。</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5.编写分析报告。</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6.承担公司税务管理工作。</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7.收集、分析税收政策，提供规避税收风险的建议，并组织实施，承办纳税报表编制工作，按期缴纳各项税费，建立公司税务台账。</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8.组织税收自查及税务专项检查配合工作。</w:t>
            </w:r>
          </w:p>
        </w:tc>
        <w:tc>
          <w:tcPr>
            <w:tcW w:w="621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1.学历要求：本科及以上学历。财务、会计、金融专业；</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2.年龄及身体条件：不超过35周岁，身体健康；</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3.具有5年及以上财务、会计、金融工作经验，具有中级会计师职称优先；</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4.能熟练使用财务及办公软件，具有较强的沟通协调能力。</w:t>
            </w:r>
            <w:r>
              <w:rPr>
                <w:rFonts w:hint="eastAsia" w:ascii="仿宋_GB2312" w:hAnsi="仿宋_GB2312" w:eastAsia="仿宋_GB2312" w:cs="仿宋_GB2312"/>
                <w:i w:val="0"/>
                <w:color w:val="000000"/>
                <w:kern w:val="0"/>
                <w:sz w:val="24"/>
                <w:szCs w:val="24"/>
                <w:highlight w:val="none"/>
                <w:u w:val="none"/>
                <w:lang w:val="en-US" w:eastAsia="zh-CN" w:bidi="ar"/>
              </w:rPr>
              <w:br w:type="textWrapping"/>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p>
        </w:tc>
      </w:tr>
      <w:tr>
        <w:tblPrEx>
          <w:tblLayout w:type="fixed"/>
          <w:tblCellMar>
            <w:top w:w="0" w:type="dxa"/>
            <w:left w:w="0" w:type="dxa"/>
            <w:bottom w:w="0" w:type="dxa"/>
            <w:right w:w="0" w:type="dxa"/>
          </w:tblCellMar>
        </w:tblPrEx>
        <w:trPr>
          <w:trHeight w:val="4141" w:hRule="atLeast"/>
        </w:trPr>
        <w:tc>
          <w:tcPr>
            <w:tcW w:w="659"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5</w:t>
            </w:r>
          </w:p>
        </w:tc>
        <w:tc>
          <w:tcPr>
            <w:tcW w:w="756" w:type="dxa"/>
            <w:gridSpan w:val="2"/>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生产工程部</w:t>
            </w:r>
          </w:p>
        </w:tc>
        <w:tc>
          <w:tcPr>
            <w:tcW w:w="1137" w:type="dxa"/>
            <w:gridSpan w:val="2"/>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工程主管</w:t>
            </w:r>
          </w:p>
        </w:tc>
        <w:tc>
          <w:tcPr>
            <w:tcW w:w="5195" w:type="dxa"/>
            <w:gridSpan w:val="2"/>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1.组织新能源、综合智慧能源项目建设规划的实施和管理工作；</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2.掌握施工设计相关知识，熟悉相关专业的设计规范和国家地方标准；</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3.与工程承包商进行工程项目建设的的设计沟通、协调，负责项目前期审查工作；</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4.参与项目招标、评标及合同评审等相关工作，了解工程造价相关知识；</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5.监督施工方按照设计方案、设计图纸进行施工；具备现场统筹协调、工程施工管理、专业图纸审查、解决各类技术问题的能力；</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p>
        </w:tc>
        <w:tc>
          <w:tcPr>
            <w:tcW w:w="621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1.学历要求：本科及以上学历。土建或暖通等相关专业。</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2.年龄及身体条件：不超过35周岁，特别优秀者，可放宽至38岁。身体健康。</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3.具有5年以上土建工程等相关领域施工管理工作经验；</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4.熟练掌握项目整体开发建设程序、对政府部门职能有深刻了解；</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5.熟悉国家及地方的有关政策法规条文；了解工程造价、招投标、预决算等工作流程，了解财务经济相关法律法规；</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6.具有中级职称或以上相关资格证书优先考虑；具有新能源、综合智慧能源等相关项目开发经验者优先。</w:t>
            </w:r>
          </w:p>
        </w:tc>
      </w:tr>
      <w:tr>
        <w:tblPrEx>
          <w:tblLayout w:type="fixed"/>
          <w:tblCellMar>
            <w:top w:w="0" w:type="dxa"/>
            <w:left w:w="0" w:type="dxa"/>
            <w:bottom w:w="0" w:type="dxa"/>
            <w:right w:w="0" w:type="dxa"/>
          </w:tblCellMar>
        </w:tblPrEx>
        <w:trPr>
          <w:trHeight w:val="1027" w:hRule="atLeast"/>
        </w:trPr>
        <w:tc>
          <w:tcPr>
            <w:tcW w:w="659"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6</w:t>
            </w:r>
          </w:p>
        </w:tc>
        <w:tc>
          <w:tcPr>
            <w:tcW w:w="756" w:type="dxa"/>
            <w:gridSpan w:val="2"/>
            <w:vMerge w:val="restart"/>
            <w:tcBorders>
              <w:top w:val="single" w:color="auto" w:sz="4" w:space="0"/>
              <w:left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梅州兴宁项目</w:t>
            </w:r>
          </w:p>
        </w:tc>
        <w:tc>
          <w:tcPr>
            <w:tcW w:w="1137" w:type="dxa"/>
            <w:gridSpan w:val="2"/>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iCs w:val="0"/>
                <w:caps w:val="0"/>
                <w:color w:val="333333"/>
                <w:spacing w:val="0"/>
                <w:sz w:val="24"/>
                <w:szCs w:val="24"/>
                <w:highlight w:val="none"/>
                <w:shd w:val="clear" w:color="auto" w:fill="FFFFFF"/>
                <w:vertAlign w:val="baseline"/>
                <w:lang w:val="en-US" w:eastAsia="zh-CN"/>
              </w:rPr>
              <w:t>前期/基建/运营/管理（主任级）</w:t>
            </w:r>
          </w:p>
        </w:tc>
        <w:tc>
          <w:tcPr>
            <w:tcW w:w="5195" w:type="dxa"/>
            <w:gridSpan w:val="2"/>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1.负责梅州新能源项目的资源开发并签订开发协议，组织申报并获取核准指标；</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2.办理各项支持性批复文件，按计划完成项目核准工作、承担开发所负责的各项开工合规性文件办理工作，保障项目合规；</w:t>
            </w:r>
            <w:bookmarkStart w:id="0" w:name="_GoBack"/>
            <w:bookmarkEnd w:id="0"/>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3.建立并维护各级政府、电网公司、设计机构等相关部门和主管负责人的良好合作关系；</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4.完成领导交办的其他事项。</w:t>
            </w:r>
          </w:p>
        </w:tc>
        <w:tc>
          <w:tcPr>
            <w:tcW w:w="621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1.学历要求：本科及以上学历。电气、电力系统等相关专业。</w:t>
            </w:r>
          </w:p>
          <w:p>
            <w:pPr>
              <w:keepNext w:val="0"/>
              <w:keepLines w:val="0"/>
              <w:widowControl/>
              <w:suppressLineNumbers w:val="0"/>
              <w:jc w:val="left"/>
              <w:textAlignment w:val="center"/>
              <w:rPr>
                <w:rFonts w:hint="eastAsia"/>
                <w:highlight w:val="none"/>
                <w:lang w:val="en-US" w:eastAsia="zh-CN"/>
              </w:rPr>
            </w:pPr>
            <w:r>
              <w:rPr>
                <w:rFonts w:hint="eastAsia" w:ascii="仿宋_GB2312" w:hAnsi="仿宋_GB2312" w:eastAsia="仿宋_GB2312" w:cs="仿宋_GB2312"/>
                <w:i w:val="0"/>
                <w:color w:val="000000"/>
                <w:kern w:val="0"/>
                <w:sz w:val="24"/>
                <w:szCs w:val="24"/>
                <w:highlight w:val="none"/>
                <w:u w:val="none"/>
                <w:lang w:val="en-US" w:eastAsia="zh-CN" w:bidi="ar"/>
              </w:rPr>
              <w:t>2.年龄及身体条件：不超过35周岁，特别优秀者，可放宽至38岁。身体健康。</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3.熟悉新能源项目前期管理流程及工作标准，具有较强的规划发展能力、公关协调能力及组织领导能力，具有新能源项目开发经验优先。</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3.具有5年以上电力行业央企/国企/电网公司等企业项目开发类岗位任职工作经验优先；</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4.具有3年及以上新能源行业开发经验或成功开发1个及以上项目的优先。</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highlight w:val="none"/>
                <w:u w:val="none"/>
                <w:lang w:val="en-US" w:eastAsia="zh-CN" w:bidi="ar"/>
              </w:rPr>
            </w:pPr>
          </w:p>
        </w:tc>
      </w:tr>
      <w:tr>
        <w:tblPrEx>
          <w:tblLayout w:type="fixed"/>
          <w:tblCellMar>
            <w:top w:w="0" w:type="dxa"/>
            <w:left w:w="0" w:type="dxa"/>
            <w:bottom w:w="0" w:type="dxa"/>
            <w:right w:w="0" w:type="dxa"/>
          </w:tblCellMar>
        </w:tblPrEx>
        <w:trPr>
          <w:trHeight w:val="1027" w:hRule="atLeast"/>
        </w:trPr>
        <w:tc>
          <w:tcPr>
            <w:tcW w:w="659"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7</w:t>
            </w:r>
          </w:p>
        </w:tc>
        <w:tc>
          <w:tcPr>
            <w:tcW w:w="756" w:type="dxa"/>
            <w:gridSpan w:val="2"/>
            <w:vMerge w:val="continue"/>
            <w:tcBorders>
              <w:left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highlight w:val="none"/>
                <w:u w:val="none"/>
                <w:lang w:val="en-US" w:eastAsia="zh-CN" w:bidi="ar"/>
              </w:rPr>
            </w:pPr>
          </w:p>
        </w:tc>
        <w:tc>
          <w:tcPr>
            <w:tcW w:w="1137" w:type="dxa"/>
            <w:gridSpan w:val="2"/>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iCs w:val="0"/>
                <w:caps w:val="0"/>
                <w:color w:val="333333"/>
                <w:spacing w:val="0"/>
                <w:sz w:val="24"/>
                <w:szCs w:val="24"/>
                <w:highlight w:val="none"/>
                <w:shd w:val="clear" w:color="auto" w:fill="FFFFFF"/>
                <w:vertAlign w:val="baseline"/>
                <w:lang w:val="en-US" w:eastAsia="zh-CN"/>
              </w:rPr>
              <w:t>前期/基建/运营/管理（主管）</w:t>
            </w:r>
          </w:p>
        </w:tc>
        <w:tc>
          <w:tcPr>
            <w:tcW w:w="5195" w:type="dxa"/>
            <w:gridSpan w:val="2"/>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1.负责梅州新能源项目开发，推动签订开发协议，负责光伏电站核准流程及批复手续办理，按计划完成项目核准工作；</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2.完成领导交办的其他事项。</w:t>
            </w:r>
          </w:p>
        </w:tc>
        <w:tc>
          <w:tcPr>
            <w:tcW w:w="621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1.学历要求：本科及以上学历。电气、电力系统等相关专业。</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2.年龄及身体条件：不超过35周岁，特别优秀者，可放宽至38岁。身体健康。</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3.熟悉发电集团、电网公司及政府相关部门内部业务流程，极强的沟通表达能力；</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3.具有3年以上新能源大客户项目开发经验或政府关系开发工作经验；</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4.具有2年及以上新能源行业开发经验或成功开发1个及以上项目的优先。</w:t>
            </w:r>
          </w:p>
        </w:tc>
      </w:tr>
      <w:tr>
        <w:tblPrEx>
          <w:tblLayout w:type="fixed"/>
          <w:tblCellMar>
            <w:top w:w="0" w:type="dxa"/>
            <w:left w:w="0" w:type="dxa"/>
            <w:bottom w:w="0" w:type="dxa"/>
            <w:right w:w="0" w:type="dxa"/>
          </w:tblCellMar>
        </w:tblPrEx>
        <w:trPr>
          <w:trHeight w:val="294" w:hRule="atLeast"/>
        </w:trPr>
        <w:tc>
          <w:tcPr>
            <w:tcW w:w="659"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8</w:t>
            </w:r>
          </w:p>
        </w:tc>
        <w:tc>
          <w:tcPr>
            <w:tcW w:w="756" w:type="dxa"/>
            <w:gridSpan w:val="2"/>
            <w:vMerge w:val="continue"/>
            <w:tcBorders>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highlight w:val="none"/>
                <w:u w:val="none"/>
                <w:lang w:val="en-US" w:eastAsia="zh-CN" w:bidi="ar"/>
              </w:rPr>
            </w:pPr>
          </w:p>
        </w:tc>
        <w:tc>
          <w:tcPr>
            <w:tcW w:w="1137" w:type="dxa"/>
            <w:gridSpan w:val="2"/>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iCs w:val="0"/>
                <w:caps w:val="0"/>
                <w:color w:val="333333"/>
                <w:spacing w:val="0"/>
                <w:sz w:val="24"/>
                <w:szCs w:val="24"/>
                <w:highlight w:val="none"/>
                <w:shd w:val="clear" w:color="auto" w:fill="FFFFFF"/>
                <w:vertAlign w:val="baseline"/>
                <w:lang w:val="en-US" w:eastAsia="zh-CN"/>
              </w:rPr>
              <w:t>前期/基建/运营/管理（</w:t>
            </w:r>
            <w:r>
              <w:rPr>
                <w:rFonts w:hint="eastAsia" w:ascii="仿宋_GB2312" w:hAnsi="仿宋_GB2312" w:eastAsia="仿宋_GB2312" w:cs="仿宋_GB2312"/>
                <w:i w:val="0"/>
                <w:color w:val="000000"/>
                <w:kern w:val="0"/>
                <w:sz w:val="24"/>
                <w:szCs w:val="24"/>
                <w:highlight w:val="none"/>
                <w:u w:val="none"/>
                <w:lang w:val="en-US" w:eastAsia="zh-CN" w:bidi="ar"/>
              </w:rPr>
              <w:t>专责）</w:t>
            </w:r>
          </w:p>
        </w:tc>
        <w:tc>
          <w:tcPr>
            <w:tcW w:w="5195" w:type="dxa"/>
            <w:gridSpan w:val="2"/>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1.负责梅州新能源项目市场调研、相关政策解析；</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2.负责梅州新能源项目经济评价分析、项目投资分析、收益率测算等；</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3.完成领导交办的其他事项。</w:t>
            </w:r>
          </w:p>
        </w:tc>
        <w:tc>
          <w:tcPr>
            <w:tcW w:w="621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both"/>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1.学历要求：本科及以上学历。电气、电力系统、物流管理、采购与供应链管理、机电一体化、自动化、电子类等相关专业；</w:t>
            </w:r>
          </w:p>
          <w:p>
            <w:pPr>
              <w:jc w:val="both"/>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2.年龄及身体条件：不超过35周岁，特别优秀者，可放宽至38岁。身体健康。</w:t>
            </w:r>
          </w:p>
          <w:p>
            <w:pPr>
              <w:jc w:val="both"/>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3.具有5年以上相关采购工作经验，具有新能源相关工作经验或成功开发1个及以上项目的优先；</w:t>
            </w:r>
          </w:p>
          <w:p>
            <w:pPr>
              <w:jc w:val="both"/>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4.熟悉电力工程EPC项目采购管理流程。</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highlight w:val="none"/>
                <w:u w:val="none"/>
                <w:lang w:val="en-US" w:eastAsia="zh-CN" w:bidi="ar"/>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1A0EE3"/>
    <w:rsid w:val="025E39A9"/>
    <w:rsid w:val="03961A11"/>
    <w:rsid w:val="04284FA1"/>
    <w:rsid w:val="08845696"/>
    <w:rsid w:val="08FF38BA"/>
    <w:rsid w:val="09BB2AE0"/>
    <w:rsid w:val="0CCA38A7"/>
    <w:rsid w:val="15C60041"/>
    <w:rsid w:val="175F231F"/>
    <w:rsid w:val="183C49E9"/>
    <w:rsid w:val="19B75FB9"/>
    <w:rsid w:val="1A233D6F"/>
    <w:rsid w:val="1A63629F"/>
    <w:rsid w:val="1AF277EC"/>
    <w:rsid w:val="1D7940D8"/>
    <w:rsid w:val="1E692F07"/>
    <w:rsid w:val="1ED24CDD"/>
    <w:rsid w:val="20493194"/>
    <w:rsid w:val="210F427C"/>
    <w:rsid w:val="25256F0C"/>
    <w:rsid w:val="25F556E8"/>
    <w:rsid w:val="263C1CD5"/>
    <w:rsid w:val="281A0EE3"/>
    <w:rsid w:val="2AB55048"/>
    <w:rsid w:val="2DD030CC"/>
    <w:rsid w:val="2E014D29"/>
    <w:rsid w:val="2E5A0DA5"/>
    <w:rsid w:val="2FE85A97"/>
    <w:rsid w:val="2FE93B99"/>
    <w:rsid w:val="308E2B5F"/>
    <w:rsid w:val="338B3965"/>
    <w:rsid w:val="34FF461C"/>
    <w:rsid w:val="369117D4"/>
    <w:rsid w:val="373C1F02"/>
    <w:rsid w:val="3887474B"/>
    <w:rsid w:val="3B3C5D18"/>
    <w:rsid w:val="3B5326F3"/>
    <w:rsid w:val="3E482588"/>
    <w:rsid w:val="42015BAB"/>
    <w:rsid w:val="482C10F4"/>
    <w:rsid w:val="4E1349D2"/>
    <w:rsid w:val="4E9B2803"/>
    <w:rsid w:val="4EF77770"/>
    <w:rsid w:val="4F542EE9"/>
    <w:rsid w:val="53AD3698"/>
    <w:rsid w:val="55720E0E"/>
    <w:rsid w:val="58D31F05"/>
    <w:rsid w:val="59A5000A"/>
    <w:rsid w:val="5B0F7EDD"/>
    <w:rsid w:val="5DEC5E6A"/>
    <w:rsid w:val="5E0E13CD"/>
    <w:rsid w:val="5EB6783A"/>
    <w:rsid w:val="5FAE685E"/>
    <w:rsid w:val="617E1E7A"/>
    <w:rsid w:val="63CD44F0"/>
    <w:rsid w:val="63D36234"/>
    <w:rsid w:val="670968B6"/>
    <w:rsid w:val="6DEA1D4F"/>
    <w:rsid w:val="720F0CC3"/>
    <w:rsid w:val="77D64AFD"/>
    <w:rsid w:val="79200CE9"/>
    <w:rsid w:val="7A797BD8"/>
    <w:rsid w:val="7BAF3F6E"/>
    <w:rsid w:val="7BC7672C"/>
    <w:rsid w:val="7C811ABE"/>
    <w:rsid w:val="7DC955BF"/>
    <w:rsid w:val="7F8B2B96"/>
    <w:rsid w:val="7FE83BDB"/>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toa heading"/>
    <w:basedOn w:val="1"/>
    <w:next w:val="1"/>
    <w:unhideWhenUsed/>
    <w:qFormat/>
    <w:uiPriority w:val="99"/>
    <w:pPr>
      <w:spacing w:before="120"/>
    </w:pPr>
    <w:rPr>
      <w:rFonts w:ascii="Arial" w:hAnsi="Arial"/>
      <w:sz w:val="24"/>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spic</Company>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2021-04-02T01:57:00Z</dcterms:created>
  <dc:creator>arui</dc:creator>
  <cp:lastModifiedBy>雷锦鹏</cp:lastModifiedBy>
  <dcterms:modified xsi:type="dcterms:W3CDTF">2021-09-17T01:55:15Z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y fmtid="{D5CDD505-2E9C-101B-9397-08002B2CF9AE}" pid="3" name="ICV">
    <vt:lpwstr>9C27728EB2D74EF9AD3C67D1F3955FF1</vt:lpwstr>
  </property>
</Properties>
</file>