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江苏省就业困难人员认定条件</w:t>
      </w: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登记失业人员中有下列情形之一，可以申请认定为就业困难人员：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（一）享受最低生活保障的；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（二）女40周岁以上、男50周岁以上的；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（三）特困职工家庭的；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（四）残疾的；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（五）城镇零就业家庭和农村零转移家庭的；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（六）连续失业1年以上的；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（七）城市规划区范围内的被征地农民；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（八）优抚对象家庭的；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（九）军队退役的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（十）建档立卡低收入农户的；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（十一）设区市人民政府确定的其他就业困难人员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具体指：全日制普通高校毕业6个月以上未实现就业的高校毕业生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942DD"/>
    <w:rsid w:val="101E0824"/>
    <w:rsid w:val="55495338"/>
    <w:rsid w:val="61AF5499"/>
    <w:rsid w:val="6F0942DD"/>
    <w:rsid w:val="7CC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2021-07-14T09:08:00Z</dcterms:created>
  <dc:creator>刘亚洲</dc:creator>
  <cp:lastModifiedBy>cathy</cp:lastModifiedBy>
  <cp:lastPrinted>2021-07-22T01:32:13Z</cp:lastPrinted>
  <dcterms:modified xsi:type="dcterms:W3CDTF">2021-07-22T01:33:48Z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42F5FB71A48C46D5BC4FBF908530E688</vt:lpwstr>
  </property>
</Properties>
</file>