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firstLine="280" w:firstLineChars="1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附件1：</w:t>
      </w:r>
      <w:r>
        <w:rPr>
          <w:rFonts w:hint="eastAsia" w:ascii="仿宋" w:hAnsi="仿宋" w:eastAsia="仿宋" w:cs="仿宋"/>
          <w:sz w:val="28"/>
          <w:szCs w:val="28"/>
        </w:rPr>
        <w:t>白沙黎族自治县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引进</w:t>
      </w:r>
      <w:r>
        <w:rPr>
          <w:rFonts w:hint="eastAsia" w:ascii="仿宋" w:hAnsi="仿宋" w:eastAsia="仿宋" w:cs="仿宋"/>
          <w:sz w:val="28"/>
          <w:szCs w:val="28"/>
        </w:rPr>
        <w:t>卫生专业技术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人才</w:t>
      </w:r>
      <w:r>
        <w:rPr>
          <w:rFonts w:hint="eastAsia" w:ascii="仿宋" w:hAnsi="仿宋" w:eastAsia="仿宋" w:cs="仿宋"/>
          <w:sz w:val="28"/>
          <w:szCs w:val="28"/>
        </w:rPr>
        <w:t>考核招聘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岗位表</w:t>
      </w:r>
    </w:p>
    <w:tbl>
      <w:tblPr>
        <w:tblStyle w:val="4"/>
        <w:tblpPr w:leftFromText="180" w:rightFromText="180" w:vertAnchor="text" w:horzAnchor="page" w:tblpXSpec="center" w:tblpY="12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040"/>
        <w:gridCol w:w="848"/>
        <w:gridCol w:w="1272"/>
        <w:gridCol w:w="873"/>
        <w:gridCol w:w="1137"/>
        <w:gridCol w:w="130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bookmarkStart w:id="2" w:name="_GoBack"/>
            <w:r>
              <w:rPr>
                <w:rFonts w:hint="eastAsia"/>
                <w:vertAlign w:val="baseline"/>
                <w:lang w:val="en-US" w:eastAsia="zh-CN"/>
              </w:rPr>
              <w:t>单位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年龄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资格要求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县人民医院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县人民医院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骨干内科医师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45周岁以下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中级及以上资格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538" w:leftChars="85" w:hanging="360" w:hangingChars="200"/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不受报考时间</w:t>
            </w:r>
          </w:p>
          <w:p>
            <w:pPr>
              <w:numPr>
                <w:ilvl w:val="0"/>
                <w:numId w:val="0"/>
              </w:numPr>
              <w:ind w:firstLine="360" w:firstLineChars="200"/>
              <w:jc w:val="both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骨干外科医师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45周岁以下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中级及以上资格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不受报考时间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骨干妇产科医师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45周岁以下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中级及以上资格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不受报考时间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骨干儿科医师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45周岁以下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中级及以上资格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不受报考时间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内科医师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取得执业医师及以上资格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外科医师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取得执业医师及以上资格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妇产科医师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取得执业医师及以上资格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儿科医师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Calibri" w:hAnsi="Calibri" w:eastAsia="微软雅黑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取得执业医师及以上资格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中医科医师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中医学、中西医结合医学、针灸推拿学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取得执业医师及以上资格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中级及以上职称年龄放宽至45岁、正高职称放宽至55岁。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麻醉科医师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取得执业医师及以上资格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中级及以上职称年龄放宽至45岁、正高职称放宽至55岁。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放射、医影像医师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临床医学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35周岁以下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取得执业医师及以上资格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重症医学医师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临床医学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35周岁以下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取得执业医师及以上资格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82"/>
              </w:tabs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中级及以上职称年龄放宽至45岁、正高职称放宽至55岁。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口腔科医师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口腔医学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35周岁以下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取得执业医师及以上资格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中级及以上职称年龄放宽至45岁、正高职称放宽至55岁。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县人民医院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210" w:firstLineChars="10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会计师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210" w:firstLineChars="10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会计学、财务管理专业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35周岁以下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具有初级会计师及以上资格，具有二级公立医院财会工作经验。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县皮精中心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210" w:firstLineChars="10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医师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210" w:firstLineChars="10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35周岁以下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取得执业医师及以上资格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基层医疗机构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210" w:firstLineChars="1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医师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210" w:firstLineChars="10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35周岁以下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取得助理医师及以上资格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中级及以上职称年龄放宽至45岁、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中医师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210" w:firstLineChars="1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中医学、中西医结合医学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364"/>
              </w:tabs>
              <w:ind w:left="0" w:leftChars="0" w:firstLine="0" w:firstLineChars="0"/>
              <w:jc w:val="left"/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35周岁以下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取得助理医师及以上资格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中级及以上职称年龄放宽至45岁、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210" w:firstLineChars="1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护士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210" w:firstLineChars="10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护理学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364"/>
              </w:tabs>
              <w:ind w:left="0" w:leftChars="0" w:firstLine="0" w:firstLineChars="0"/>
              <w:jc w:val="left"/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35周岁以下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取得护士及以上资格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药剂师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210" w:firstLineChars="10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药学类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364"/>
              </w:tabs>
              <w:ind w:left="0" w:leftChars="0" w:firstLine="0" w:firstLineChars="0"/>
              <w:jc w:val="left"/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35周岁以下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取得药剂师或执业药师资格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210" w:firstLineChars="1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检验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82"/>
              </w:tabs>
              <w:ind w:firstLine="210" w:firstLineChars="1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210" w:firstLineChars="10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医学检验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364"/>
              </w:tabs>
              <w:ind w:left="0" w:leftChars="0" w:firstLine="0" w:firstLineChars="0"/>
              <w:jc w:val="left"/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35周岁以下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取得检验士及以上资格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口腔医师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82"/>
              </w:tabs>
              <w:ind w:firstLine="210" w:firstLineChars="1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484"/>
              </w:tabs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口腔医学类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364"/>
              </w:tabs>
              <w:ind w:left="0" w:leftChars="0" w:firstLine="0" w:firstLineChars="0"/>
              <w:jc w:val="left"/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35周岁以下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取得助理医师及以上资格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bookmarkEnd w:id="2"/>
    </w:tbl>
    <w:p>
      <w:pPr>
        <w:widowControl/>
        <w:spacing w:line="500" w:lineRule="exact"/>
        <w:rPr>
          <w:rFonts w:hint="eastAsia" w:ascii="仿宋" w:hAnsi="仿宋" w:eastAsia="仿宋" w:cs="仿宋"/>
          <w:bCs/>
          <w:sz w:val="24"/>
          <w:szCs w:val="24"/>
        </w:rPr>
      </w:pPr>
      <w:bookmarkStart w:id="0" w:name="OLE_LINK2"/>
      <w:bookmarkStart w:id="1" w:name="OLE_LINK1"/>
    </w:p>
    <w:p>
      <w:pPr>
        <w:widowControl/>
        <w:spacing w:line="500" w:lineRule="exact"/>
        <w:rPr>
          <w:rFonts w:hint="eastAsia" w:ascii="仿宋" w:hAnsi="仿宋" w:eastAsia="仿宋" w:cs="仿宋"/>
          <w:bCs/>
          <w:sz w:val="24"/>
          <w:szCs w:val="24"/>
        </w:rPr>
      </w:pPr>
    </w:p>
    <w:p>
      <w:pPr>
        <w:widowControl/>
        <w:spacing w:line="500" w:lineRule="exact"/>
        <w:rPr>
          <w:rFonts w:hint="eastAsia" w:ascii="仿宋" w:hAnsi="仿宋" w:eastAsia="仿宋" w:cs="仿宋"/>
          <w:bCs/>
          <w:sz w:val="24"/>
          <w:szCs w:val="24"/>
        </w:rPr>
      </w:pPr>
    </w:p>
    <w:p>
      <w:pPr>
        <w:widowControl/>
        <w:spacing w:line="500" w:lineRule="exact"/>
        <w:rPr>
          <w:rFonts w:hint="eastAsia" w:ascii="仿宋" w:hAnsi="仿宋" w:eastAsia="仿宋" w:cs="仿宋"/>
          <w:bCs/>
          <w:sz w:val="24"/>
          <w:szCs w:val="24"/>
        </w:rPr>
      </w:pPr>
    </w:p>
    <w:p>
      <w:pPr>
        <w:widowControl/>
        <w:spacing w:line="500" w:lineRule="exact"/>
        <w:rPr>
          <w:rFonts w:hint="eastAsia" w:ascii="仿宋" w:hAnsi="仿宋" w:eastAsia="仿宋" w:cs="仿宋"/>
          <w:bCs/>
          <w:sz w:val="24"/>
          <w:szCs w:val="24"/>
        </w:rPr>
      </w:pPr>
    </w:p>
    <w:p>
      <w:pPr>
        <w:widowControl/>
        <w:spacing w:line="500" w:lineRule="exact"/>
        <w:rPr>
          <w:rFonts w:hint="eastAsia" w:ascii="仿宋" w:hAnsi="仿宋" w:eastAsia="仿宋" w:cs="仿宋"/>
          <w:bCs/>
          <w:sz w:val="24"/>
          <w:szCs w:val="24"/>
        </w:rPr>
      </w:pPr>
    </w:p>
    <w:p>
      <w:pPr>
        <w:widowControl/>
        <w:spacing w:line="500" w:lineRule="exact"/>
        <w:rPr>
          <w:rFonts w:hint="eastAsia" w:ascii="仿宋" w:hAnsi="仿宋" w:eastAsia="仿宋" w:cs="仿宋"/>
          <w:bCs/>
          <w:sz w:val="24"/>
          <w:szCs w:val="24"/>
        </w:rPr>
      </w:pPr>
    </w:p>
    <w:p>
      <w:pPr>
        <w:widowControl/>
        <w:spacing w:line="500" w:lineRule="exact"/>
        <w:rPr>
          <w:rFonts w:hint="eastAsia" w:ascii="仿宋" w:hAnsi="仿宋" w:eastAsia="仿宋" w:cs="仿宋"/>
          <w:bCs/>
          <w:sz w:val="24"/>
          <w:szCs w:val="24"/>
        </w:rPr>
      </w:pPr>
    </w:p>
    <w:p>
      <w:pPr>
        <w:widowControl/>
        <w:spacing w:line="500" w:lineRule="exact"/>
        <w:rPr>
          <w:rFonts w:hint="eastAsia" w:ascii="仿宋" w:hAnsi="仿宋" w:eastAsia="仿宋" w:cs="仿宋"/>
          <w:bCs/>
          <w:sz w:val="24"/>
          <w:szCs w:val="24"/>
        </w:rPr>
      </w:pPr>
    </w:p>
    <w:p>
      <w:pPr>
        <w:widowControl/>
        <w:spacing w:line="500" w:lineRule="exact"/>
        <w:rPr>
          <w:rFonts w:hint="eastAsia" w:ascii="仿宋" w:hAnsi="仿宋" w:eastAsia="仿宋" w:cs="仿宋"/>
          <w:bCs/>
          <w:sz w:val="24"/>
          <w:szCs w:val="24"/>
        </w:rPr>
      </w:pPr>
    </w:p>
    <w:p>
      <w:pPr>
        <w:widowControl/>
        <w:spacing w:line="500" w:lineRule="exact"/>
        <w:rPr>
          <w:rFonts w:hint="eastAsia" w:ascii="仿宋" w:hAnsi="仿宋" w:eastAsia="仿宋" w:cs="仿宋"/>
          <w:bCs/>
          <w:sz w:val="24"/>
          <w:szCs w:val="24"/>
        </w:rPr>
      </w:pPr>
    </w:p>
    <w:p>
      <w:pPr>
        <w:widowControl/>
        <w:spacing w:line="500" w:lineRule="exact"/>
        <w:rPr>
          <w:rFonts w:hint="eastAsia" w:ascii="仿宋" w:hAnsi="仿宋" w:eastAsia="仿宋" w:cs="仿宋"/>
          <w:bCs/>
          <w:sz w:val="24"/>
          <w:szCs w:val="24"/>
        </w:rPr>
      </w:pPr>
    </w:p>
    <w:p>
      <w:pPr>
        <w:widowControl/>
        <w:spacing w:line="500" w:lineRule="exact"/>
        <w:rPr>
          <w:rFonts w:hint="eastAsia" w:ascii="仿宋" w:hAnsi="仿宋" w:eastAsia="仿宋" w:cs="仿宋"/>
          <w:bCs/>
          <w:sz w:val="24"/>
          <w:szCs w:val="24"/>
        </w:rPr>
      </w:pPr>
    </w:p>
    <w:p>
      <w:pPr>
        <w:widowControl/>
        <w:spacing w:line="500" w:lineRule="exact"/>
        <w:rPr>
          <w:rFonts w:hint="eastAsia" w:ascii="仿宋" w:hAnsi="仿宋" w:eastAsia="仿宋" w:cs="仿宋"/>
          <w:bCs/>
          <w:sz w:val="24"/>
          <w:szCs w:val="24"/>
        </w:rPr>
      </w:pPr>
    </w:p>
    <w:p>
      <w:pPr>
        <w:widowControl/>
        <w:spacing w:line="500" w:lineRule="exact"/>
        <w:rPr>
          <w:rFonts w:hint="eastAsia" w:ascii="仿宋" w:hAnsi="仿宋" w:eastAsia="仿宋" w:cs="仿宋"/>
          <w:bCs/>
          <w:sz w:val="24"/>
          <w:szCs w:val="24"/>
        </w:rPr>
      </w:pPr>
    </w:p>
    <w:p>
      <w:pPr>
        <w:widowControl/>
        <w:spacing w:line="500" w:lineRule="exact"/>
        <w:rPr>
          <w:rFonts w:hint="eastAsia" w:ascii="仿宋" w:hAnsi="仿宋" w:eastAsia="仿宋" w:cs="仿宋"/>
          <w:bCs/>
          <w:sz w:val="24"/>
          <w:szCs w:val="24"/>
        </w:rPr>
      </w:pPr>
    </w:p>
    <w:bookmarkEnd w:id="0"/>
    <w:bookmarkEnd w:id="1"/>
    <w:p/>
    <w:sectPr>
      <w:headerReference r:id="rId3" w:type="default"/>
      <w:footerReference r:id="rId4" w:type="default"/>
      <w:pgSz w:w="11906" w:h="16838"/>
      <w:pgMar w:top="936" w:right="1418" w:bottom="1418" w:left="1418" w:header="851" w:footer="992" w:gutter="0"/>
      <w:pgNumType w:fmt="numberInDash"/>
      <w:cols w:space="720" w:num="1"/>
      <w:titlePg/>
      <w:docGrid w:type="lines" w:linePitch="5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- 4 -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D6FDD"/>
    <w:rsid w:val="05C0215F"/>
    <w:rsid w:val="2BD70345"/>
    <w:rsid w:val="3A3D5A3B"/>
    <w:rsid w:val="68B520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BF9222DF8CFF45EE8C7D7822B0D83EFE</vt:lpwstr>
  </property>
</Properties>
</file>