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846" w:tblpY="698"/>
        <w:tblOverlap w:val="never"/>
        <w:tblW w:w="15548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2273"/>
        <w:gridCol w:w="937"/>
        <w:gridCol w:w="803"/>
        <w:gridCol w:w="1230"/>
        <w:gridCol w:w="1305"/>
        <w:gridCol w:w="1155"/>
        <w:gridCol w:w="1965"/>
        <w:gridCol w:w="1260"/>
        <w:gridCol w:w="1290"/>
        <w:gridCol w:w="1875"/>
        <w:gridCol w:w="93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科室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医院核准名额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职称要求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考试方式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用人方式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接收简历邮箱及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正高职称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直接考核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邮箱：efyrskzp@163.com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武老师：0771-3392230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耳鼻咽喉头颈外科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正高职称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直接考核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正高职称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直接考核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药师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药理学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正高职称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直接考核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正高职称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直接考核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专技十级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初级及以上职称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直接考核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呼吸与危重症医学科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专技七级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副高及以上职称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直接考核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肿瘤内科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专技七级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副高及以上职称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直接考核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胸心血管外科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专技七级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副高及以上职称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直接考核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遗传与基因组医学中心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研究员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专技七级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遗传学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副高及以上职称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直接考核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放射治疗学科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专技七级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副高及以上职称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直接考核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专技十级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中级及以上职称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直接考核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健康体检中心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专技七级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副高及以上职称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直接考核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outlineLvl w:val="9"/>
        <w:rPr>
          <w:rFonts w:hint="eastAsia" w:ascii="方正小标宋简体" w:eastAsia="方正小标宋简体"/>
          <w:sz w:val="40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广西医科大学第二附属医院2021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bidi="ar-SA"/>
        </w:rPr>
        <w:t>年公开招聘人员岗位信息表</w:t>
      </w:r>
    </w:p>
    <w:bookmarkEnd w:id="0"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D3E8E"/>
    <w:rsid w:val="57AD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</w:pPr>
    <w:rPr>
      <w:rFonts w:hint="default" w:ascii="Times New Roman" w:hAnsi="Times New Roman" w:eastAsia="Times New Roman" w:cstheme="minorBidi"/>
      <w:color w:val="000000"/>
      <w:sz w:val="24"/>
      <w:lang w:val="en-US" w:eastAsia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</w:pPr>
    <w:rPr>
      <w:rFonts w:hint="default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2021-03-29T01:40:00Z</dcterms:created>
  <dc:creator>黑花</dc:creator>
  <cp:lastModifiedBy>黑花</cp:lastModifiedBy>
  <dcterms:modified xsi:type="dcterms:W3CDTF">2021-03-29T01:41:56Z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