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附件3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  <w:t xml:space="preserve">河南省第二儿童医院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  <w:t xml:space="preserve">2021年</w:t>
      </w: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行政管理人员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  <w:t xml:space="preserve">招聘职位表</w:t>
      </w: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（C类岗位）</w:t>
      </w:r>
    </w:p>
    <w:tbl>
      <w:tblPr/>
      <w:tblGrid>
        <w:gridCol w:w="762"/>
        <w:gridCol w:w="1569"/>
        <w:gridCol w:w="991"/>
        <w:gridCol w:w="931"/>
        <w:gridCol w:w="1997"/>
        <w:gridCol w:w="3427"/>
      </w:tblGrid>
      <w:tr>
        <w:trPr>
          <w:trHeight w:val="692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科室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计划招聘人数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岗位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学历条件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宋体" w:hAnsi="新宋体" w:cs="新宋体" w:eastAsia="新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专业</w:t>
            </w:r>
          </w:p>
        </w:tc>
      </w:tr>
      <w:tr>
        <w:trPr>
          <w:trHeight w:val="1446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党、政办公室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汉语言文学、汉语言、秘书学、应用语言学、文秘、秘书学、哲学、法学、法律、政治学与行政学、政治学经济学与哲学、思想政治教育、</w:t>
            </w:r>
            <w:hyperlink xmlns:r="http://schemas.openxmlformats.org/officeDocument/2006/relationships" r:id="docRId0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档案学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、公共事业管理、行政管理、社会学、社会工作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人力资源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人力资源管理、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 </w:t>
            </w:r>
            <w:hyperlink xmlns:r="http://schemas.openxmlformats.org/officeDocument/2006/relationships" r:id="docRId1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档案学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行政管理、劳动与社会保障、劳动关系</w:t>
            </w:r>
          </w:p>
        </w:tc>
      </w:tr>
      <w:tr>
        <w:trPr>
          <w:trHeight w:val="971" w:hRule="auto"/>
          <w:jc w:val="center"/>
        </w:trPr>
        <w:tc>
          <w:tcPr>
            <w:tcW w:w="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财务资产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经济学、经济统计学、会计学、财务管理、应用经济学、经济统计学、财政学、金融学、统计学、</w:t>
            </w:r>
            <w:hyperlink xmlns:r="http://schemas.openxmlformats.org/officeDocument/2006/relationships" r:id="docRId2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应用统计学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、审计学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14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本科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及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会计学、财务管理、经济统计学、统计学、</w:t>
            </w:r>
            <w:hyperlink xmlns:r="http://schemas.openxmlformats.org/officeDocument/2006/relationships" r:id="docRId3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应用统计学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、审计学</w:t>
            </w:r>
          </w:p>
        </w:tc>
      </w:tr>
      <w:tr>
        <w:trPr>
          <w:trHeight w:val="734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医务部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社会医学与卫生事业管理、临床医学、行政管理、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公共卫生与预防医学、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法学、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预防医学、病案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科教科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临床医学、社会医学与卫生事业管理、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公共卫生与预防医学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护理部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本科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及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护理学</w:t>
            </w:r>
          </w:p>
        </w:tc>
      </w:tr>
      <w:tr>
        <w:trPr>
          <w:trHeight w:val="734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门诊部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本科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及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临床医学、社会医学与卫生事业管理、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公共卫生与预防医学、预防医学</w:t>
            </w:r>
          </w:p>
        </w:tc>
      </w:tr>
      <w:tr>
        <w:trPr>
          <w:trHeight w:val="734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宣传法务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传播学、新闻学、广告学、网络与新媒体、</w:t>
            </w:r>
            <w:hyperlink xmlns:r="http://schemas.openxmlformats.org/officeDocument/2006/relationships" r:id="docRId4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美术学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、设计学、数字媒体艺术、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法学、市场营销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药械科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本科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及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药事管理、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药学、中药学、生物医学工程、临床药学</w:t>
            </w:r>
          </w:p>
        </w:tc>
      </w:tr>
      <w:tr>
        <w:trPr>
          <w:trHeight w:val="608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10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医院感染管理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和公共卫生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临床医学、社会医学与卫生事业管理、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公共卫生与预防医学、</w:t>
            </w:r>
          </w:p>
        </w:tc>
      </w:tr>
      <w:tr>
        <w:trPr>
          <w:trHeight w:val="734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11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信息科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普通全日制硕士研究生及以上学历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计算机应用技术、</w:t>
            </w:r>
            <w:hyperlink xmlns:r="http://schemas.openxmlformats.org/officeDocument/2006/relationships" r:id="docRId5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计算机科学与技术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信息安全、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网络工程、软件工程、</w:t>
            </w:r>
            <w:hyperlink xmlns:r="http://schemas.openxmlformats.org/officeDocument/2006/relationships" r:id="docRId6">
              <w:r>
                <w:rPr>
                  <w:rFonts w:ascii="仿宋" w:hAnsi="仿宋" w:cs="仿宋" w:eastAsia="仿宋"/>
                  <w:color w:val="000000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新媒体技术</w:t>
              </w:r>
            </w:hyperlink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、医学信息工程</w:t>
            </w:r>
          </w:p>
        </w:tc>
      </w:tr>
      <w:tr>
        <w:trPr>
          <w:trHeight w:val="1230" w:hRule="auto"/>
          <w:jc w:val="center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12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后勤保卫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专技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普通全日制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本科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及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以上学历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建筑与土木工程、土木工程、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给排水科学与工程、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建筑环境与能源应用工程、建筑电气与智能化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FFFFFF" w:val="clear"/>
              </w:rPr>
              <w:t xml:space="preserve">、物业管理、</w:t>
            </w: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工程造价、物流工程、采购管理、工程管理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aike.sogou.com/lemma/ShowInnerLink.htm?lemmaId=105403852&amp;ss_c=ssc.citiao.link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s://baike.sogou.com/lemma/ShowInnerLink.htm?lemmaId=5732539&amp;ss_c=ssc.citiao.link" Id="docRId0" Type="http://schemas.openxmlformats.org/officeDocument/2006/relationships/hyperlink" /><Relationship TargetMode="External" Target="https://baike.sogou.com/lemma/ShowInnerLink.htm?lemmaId=105403852&amp;ss_c=ssc.citiao.link" Id="docRId2" Type="http://schemas.openxmlformats.org/officeDocument/2006/relationships/hyperlink" /><Relationship TargetMode="External" Target="https://baike.sogou.com/lemma/ShowInnerLink.htm?lemmaId=789900&amp;ss_c=ssc.citiao.link" Id="docRId4" Type="http://schemas.openxmlformats.org/officeDocument/2006/relationships/hyperlink" /><Relationship TargetMode="External" Target="https://baike.sogou.com/lemma/ShowInnerLink.htm?lemmaId=70332028&amp;ss_c=ssc.citiao.link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baike.sogou.com/lemma/ShowInnerLink.htm?lemmaId=5732539&amp;ss_c=ssc.citiao.link" Id="docRId1" Type="http://schemas.openxmlformats.org/officeDocument/2006/relationships/hyperlink" /><Relationship TargetMode="External" Target="https://baike.sogou.com/lemma/ShowInnerLink.htm?lemmaId=82123875&amp;ss_c=ssc.citiao.link" Id="docRId5" Type="http://schemas.openxmlformats.org/officeDocument/2006/relationships/hyperlink" /></Relationships>
</file>