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通辽环保投资有限公司招聘人员岗位计划表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78"/>
        <w:gridCol w:w="791"/>
        <w:gridCol w:w="482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4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应聘条件</w:t>
            </w:r>
          </w:p>
        </w:tc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  <w:t>环评工程师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28" w:type="dxa"/>
          </w:tcPr>
          <w:p>
            <w:pP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45周岁以下（1975年1月1日后出生）；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  <w:t>、</w:t>
            </w: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  <w:t>大学本科及以上学历；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  <w:t>环保相关专业，取得环评工程师资格证书；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  <w:t>具有3年以上环评工作经验；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  <w:t>能独立完成环评报告书编写任务；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  <w:t>6、具</w:t>
            </w: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  <w:t>有负责省级及以上审批项目经验者优先录用</w:t>
            </w: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  <w:t>，适当放宽条件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  <w:t>科尔沁区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  <w:t>部门经理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28" w:type="dxa"/>
          </w:tcPr>
          <w:p>
            <w:pP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1、40周岁以下（1980年1月1日及以后出生）；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2、全日制大学本科以上学历；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3、环境工程、土木工程、建筑学、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城乡规划等相关专业；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4、具有一定的组织、领导、协调和处置应急事务能力；</w:t>
            </w: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5、具有环保、住建、水务、发改、国土等部门5年以上工作经历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6、具有机关、事业单位副科级以上职务3年以上工作经历或具有一级造价师、建造师执业职格者适当放宽条件。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eastAsia="zh-CN"/>
              </w:rPr>
              <w:t>科尔沁区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50F9"/>
    <w:rsid w:val="03B0046A"/>
    <w:rsid w:val="094676D9"/>
    <w:rsid w:val="126E57A1"/>
    <w:rsid w:val="134255E2"/>
    <w:rsid w:val="14F274F0"/>
    <w:rsid w:val="1ACE6D7D"/>
    <w:rsid w:val="21534A87"/>
    <w:rsid w:val="241B7F02"/>
    <w:rsid w:val="24C10FB4"/>
    <w:rsid w:val="406B7FE6"/>
    <w:rsid w:val="537948F1"/>
    <w:rsid w:val="55BF2AF4"/>
    <w:rsid w:val="725B386F"/>
    <w:rsid w:val="74C0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2020-11-12T03:16:00Z</dcterms:created>
  <dc:creator>Administrator</dc:creator>
  <cp:lastModifiedBy>blingbling</cp:lastModifiedBy>
  <cp:lastPrinted>2020-11-20T06:18:00Z</cp:lastPrinted>
  <dcterms:modified xsi:type="dcterms:W3CDTF">2020-12-07T09:18:35Z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