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Spec="center" w:tblpY="312"/>
        <w:tblOverlap w:val="neve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5"/>
        <w:gridCol w:w="1104"/>
        <w:gridCol w:w="593"/>
        <w:gridCol w:w="1025"/>
        <w:gridCol w:w="675"/>
        <w:gridCol w:w="1339"/>
        <w:gridCol w:w="1168"/>
        <w:gridCol w:w="964"/>
        <w:gridCol w:w="1961"/>
      </w:tblGrid>
      <w:tr w:rsidR="0019677F" w:rsidTr="00802EBE">
        <w:trPr>
          <w:trHeight w:val="1203"/>
        </w:trPr>
        <w:tc>
          <w:tcPr>
            <w:tcW w:w="445" w:type="dxa"/>
            <w:noWrap/>
            <w:tcMar>
              <w:top w:w="15" w:type="dxa"/>
              <w:left w:w="15" w:type="dxa"/>
              <w:right w:w="15" w:type="dxa"/>
            </w:tcMar>
            <w:vAlign w:val="center"/>
          </w:tcPr>
          <w:p w:rsidR="0019677F" w:rsidRDefault="0019677F" w:rsidP="00802EBE">
            <w:pPr>
              <w:spacing w:line="480" w:lineRule="exact"/>
              <w:jc w:val="center"/>
              <w:rPr>
                <w:rFonts w:ascii="方正小标宋简体" w:eastAsia="方正小标宋简体" w:hAnsi="方正小标宋简体" w:cs="方正小标宋简体"/>
                <w:color w:val="000000"/>
                <w:kern w:val="0"/>
                <w:sz w:val="32"/>
                <w:szCs w:val="32"/>
                <w:lang/>
              </w:rPr>
            </w:pPr>
          </w:p>
        </w:tc>
        <w:tc>
          <w:tcPr>
            <w:tcW w:w="8829" w:type="dxa"/>
            <w:gridSpan w:val="8"/>
            <w:noWrap/>
            <w:tcMar>
              <w:top w:w="15" w:type="dxa"/>
              <w:left w:w="15" w:type="dxa"/>
              <w:right w:w="15" w:type="dxa"/>
            </w:tcMar>
            <w:vAlign w:val="center"/>
          </w:tcPr>
          <w:p w:rsidR="0019677F" w:rsidRPr="0019677F" w:rsidRDefault="0019677F" w:rsidP="00802EBE">
            <w:pPr>
              <w:widowControl/>
              <w:spacing w:line="480" w:lineRule="exact"/>
              <w:jc w:val="center"/>
              <w:textAlignment w:val="center"/>
              <w:rPr>
                <w:rFonts w:ascii="方正小标宋简体" w:eastAsia="方正小标宋简体" w:hAnsi="方正小标宋简体" w:cs="方正小标宋简体"/>
                <w:color w:val="000000"/>
                <w:kern w:val="0"/>
                <w:sz w:val="36"/>
                <w:szCs w:val="36"/>
                <w:lang/>
              </w:rPr>
            </w:pPr>
            <w:r w:rsidRPr="0019677F">
              <w:rPr>
                <w:rFonts w:ascii="方正小标宋简体" w:eastAsia="方正小标宋简体" w:hAnsi="方正小标宋简体" w:cs="方正小标宋简体" w:hint="eastAsia"/>
                <w:color w:val="000000"/>
                <w:kern w:val="0"/>
                <w:sz w:val="36"/>
                <w:szCs w:val="36"/>
                <w:lang/>
              </w:rPr>
              <w:t>广元市中心医院（川北区域医疗中心</w:t>
            </w:r>
            <w:bookmarkStart w:id="0" w:name="_GoBack"/>
            <w:bookmarkEnd w:id="0"/>
            <w:r w:rsidRPr="0019677F">
              <w:rPr>
                <w:rFonts w:ascii="方正小标宋简体" w:eastAsia="方正小标宋简体" w:hAnsi="方正小标宋简体" w:cs="方正小标宋简体" w:hint="eastAsia"/>
                <w:color w:val="000000"/>
                <w:kern w:val="0"/>
                <w:sz w:val="36"/>
                <w:szCs w:val="36"/>
                <w:lang/>
              </w:rPr>
              <w:t>）</w:t>
            </w:r>
          </w:p>
          <w:p w:rsidR="0019677F" w:rsidRDefault="0019677F" w:rsidP="00802EBE">
            <w:pPr>
              <w:spacing w:line="480" w:lineRule="exact"/>
              <w:jc w:val="center"/>
              <w:rPr>
                <w:rFonts w:ascii="方正小标宋简体" w:eastAsia="方正小标宋简体" w:hAnsi="方正小标宋简体" w:cs="方正小标宋简体"/>
                <w:color w:val="000000"/>
                <w:kern w:val="0"/>
                <w:sz w:val="32"/>
                <w:szCs w:val="32"/>
                <w:lang/>
              </w:rPr>
            </w:pPr>
            <w:r w:rsidRPr="0019677F">
              <w:rPr>
                <w:rFonts w:ascii="方正小标宋简体" w:eastAsia="方正小标宋简体" w:hAnsi="方正小标宋简体" w:cs="方正小标宋简体" w:hint="eastAsia"/>
                <w:color w:val="000000"/>
                <w:kern w:val="0"/>
                <w:sz w:val="36"/>
                <w:szCs w:val="36"/>
                <w:lang/>
              </w:rPr>
              <w:t>2020年下半年高层次人才招聘岗位及条件一览表</w:t>
            </w:r>
          </w:p>
        </w:tc>
      </w:tr>
      <w:tr w:rsidR="0019677F" w:rsidTr="0019677F">
        <w:trPr>
          <w:trHeight w:val="1044"/>
        </w:trPr>
        <w:tc>
          <w:tcPr>
            <w:tcW w:w="445" w:type="dxa"/>
            <w:noWrap/>
            <w:tcMar>
              <w:top w:w="15" w:type="dxa"/>
              <w:left w:w="15" w:type="dxa"/>
              <w:right w:w="15" w:type="dxa"/>
            </w:tcMar>
            <w:vAlign w:val="center"/>
          </w:tcPr>
          <w:p w:rsidR="0019677F" w:rsidRPr="0019677F" w:rsidRDefault="0019677F" w:rsidP="00802EBE">
            <w:pPr>
              <w:widowControl/>
              <w:jc w:val="center"/>
              <w:textAlignment w:val="center"/>
              <w:rPr>
                <w:rFonts w:ascii="黑体" w:eastAsia="黑体" w:hAnsi="宋体" w:cs="宋体" w:hint="eastAsia"/>
                <w:b/>
                <w:color w:val="000000"/>
                <w:sz w:val="22"/>
                <w:szCs w:val="22"/>
              </w:rPr>
            </w:pPr>
            <w:r w:rsidRPr="0019677F">
              <w:rPr>
                <w:rFonts w:ascii="黑体" w:eastAsia="黑体" w:hAnsi="宋体" w:cs="宋体" w:hint="eastAsia"/>
                <w:b/>
                <w:color w:val="000000"/>
                <w:kern w:val="0"/>
                <w:sz w:val="22"/>
                <w:szCs w:val="22"/>
                <w:lang/>
              </w:rPr>
              <w:t>序号</w:t>
            </w:r>
          </w:p>
        </w:tc>
        <w:tc>
          <w:tcPr>
            <w:tcW w:w="1104" w:type="dxa"/>
            <w:noWrap/>
            <w:tcMar>
              <w:top w:w="15" w:type="dxa"/>
              <w:left w:w="15" w:type="dxa"/>
              <w:right w:w="15" w:type="dxa"/>
            </w:tcMar>
            <w:vAlign w:val="center"/>
          </w:tcPr>
          <w:p w:rsidR="0019677F" w:rsidRPr="0019677F" w:rsidRDefault="0019677F" w:rsidP="00802EBE">
            <w:pPr>
              <w:widowControl/>
              <w:jc w:val="center"/>
              <w:textAlignment w:val="center"/>
              <w:rPr>
                <w:rFonts w:ascii="黑体" w:eastAsia="黑体" w:hAnsi="宋体" w:cs="仿宋_GB2312" w:hint="eastAsia"/>
                <w:b/>
                <w:color w:val="000000"/>
                <w:szCs w:val="21"/>
              </w:rPr>
            </w:pPr>
            <w:r w:rsidRPr="0019677F">
              <w:rPr>
                <w:rFonts w:ascii="黑体" w:eastAsia="黑体" w:hAnsi="宋体" w:cs="仿宋_GB2312" w:hint="eastAsia"/>
                <w:b/>
                <w:color w:val="000000"/>
                <w:kern w:val="0"/>
                <w:szCs w:val="21"/>
                <w:lang/>
              </w:rPr>
              <w:t>招聘岗位</w:t>
            </w:r>
          </w:p>
        </w:tc>
        <w:tc>
          <w:tcPr>
            <w:tcW w:w="593" w:type="dxa"/>
            <w:noWrap/>
            <w:tcMar>
              <w:top w:w="15" w:type="dxa"/>
              <w:left w:w="15" w:type="dxa"/>
              <w:right w:w="15" w:type="dxa"/>
            </w:tcMar>
            <w:vAlign w:val="center"/>
          </w:tcPr>
          <w:p w:rsidR="0019677F" w:rsidRPr="0019677F" w:rsidRDefault="0019677F" w:rsidP="00802EBE">
            <w:pPr>
              <w:widowControl/>
              <w:jc w:val="center"/>
              <w:textAlignment w:val="center"/>
              <w:rPr>
                <w:rFonts w:ascii="黑体" w:eastAsia="黑体" w:hAnsi="宋体" w:cs="仿宋_GB2312" w:hint="eastAsia"/>
                <w:b/>
                <w:color w:val="000000"/>
                <w:szCs w:val="21"/>
              </w:rPr>
            </w:pPr>
            <w:r w:rsidRPr="0019677F">
              <w:rPr>
                <w:rFonts w:ascii="黑体" w:eastAsia="黑体" w:hAnsi="宋体" w:cs="仿宋_GB2312" w:hint="eastAsia"/>
                <w:b/>
                <w:color w:val="000000"/>
                <w:kern w:val="0"/>
                <w:szCs w:val="21"/>
                <w:lang/>
              </w:rPr>
              <w:t>招聘人数</w:t>
            </w:r>
          </w:p>
        </w:tc>
        <w:tc>
          <w:tcPr>
            <w:tcW w:w="1025" w:type="dxa"/>
            <w:noWrap/>
            <w:tcMar>
              <w:top w:w="15" w:type="dxa"/>
              <w:left w:w="15" w:type="dxa"/>
              <w:right w:w="15" w:type="dxa"/>
            </w:tcMar>
            <w:vAlign w:val="center"/>
          </w:tcPr>
          <w:p w:rsidR="0019677F" w:rsidRPr="0019677F" w:rsidRDefault="0019677F" w:rsidP="00802EBE">
            <w:pPr>
              <w:widowControl/>
              <w:jc w:val="center"/>
              <w:textAlignment w:val="center"/>
              <w:rPr>
                <w:rFonts w:ascii="黑体" w:eastAsia="黑体" w:hAnsi="宋体" w:cs="仿宋_GB2312" w:hint="eastAsia"/>
                <w:b/>
                <w:color w:val="000000"/>
                <w:szCs w:val="21"/>
              </w:rPr>
            </w:pPr>
            <w:r w:rsidRPr="0019677F">
              <w:rPr>
                <w:rFonts w:ascii="黑体" w:eastAsia="黑体" w:hAnsi="宋体" w:cs="仿宋_GB2312" w:hint="eastAsia"/>
                <w:b/>
                <w:color w:val="000000"/>
                <w:kern w:val="0"/>
                <w:szCs w:val="21"/>
                <w:lang/>
              </w:rPr>
              <w:t>学历</w:t>
            </w:r>
          </w:p>
        </w:tc>
        <w:tc>
          <w:tcPr>
            <w:tcW w:w="675" w:type="dxa"/>
            <w:noWrap/>
            <w:tcMar>
              <w:top w:w="15" w:type="dxa"/>
              <w:left w:w="15" w:type="dxa"/>
              <w:right w:w="15" w:type="dxa"/>
            </w:tcMar>
            <w:vAlign w:val="center"/>
          </w:tcPr>
          <w:p w:rsidR="0019677F" w:rsidRPr="0019677F" w:rsidRDefault="0019677F" w:rsidP="00802EBE">
            <w:pPr>
              <w:widowControl/>
              <w:jc w:val="center"/>
              <w:textAlignment w:val="center"/>
              <w:rPr>
                <w:rFonts w:ascii="黑体" w:eastAsia="黑体" w:hAnsi="宋体" w:cs="仿宋_GB2312" w:hint="eastAsia"/>
                <w:b/>
                <w:color w:val="000000"/>
                <w:szCs w:val="21"/>
              </w:rPr>
            </w:pPr>
            <w:r w:rsidRPr="0019677F">
              <w:rPr>
                <w:rFonts w:ascii="黑体" w:eastAsia="黑体" w:hAnsi="宋体" w:cs="仿宋_GB2312" w:hint="eastAsia"/>
                <w:b/>
                <w:color w:val="000000"/>
                <w:kern w:val="0"/>
                <w:szCs w:val="21"/>
                <w:lang/>
              </w:rPr>
              <w:t>学位</w:t>
            </w:r>
          </w:p>
        </w:tc>
        <w:tc>
          <w:tcPr>
            <w:tcW w:w="1339" w:type="dxa"/>
            <w:noWrap/>
            <w:tcMar>
              <w:top w:w="15" w:type="dxa"/>
              <w:left w:w="15" w:type="dxa"/>
              <w:right w:w="15" w:type="dxa"/>
            </w:tcMar>
            <w:vAlign w:val="center"/>
          </w:tcPr>
          <w:p w:rsidR="0019677F" w:rsidRPr="0019677F" w:rsidRDefault="0019677F" w:rsidP="00802EBE">
            <w:pPr>
              <w:widowControl/>
              <w:jc w:val="center"/>
              <w:textAlignment w:val="center"/>
              <w:rPr>
                <w:rFonts w:ascii="黑体" w:eastAsia="黑体" w:hAnsi="宋体" w:cs="仿宋_GB2312" w:hint="eastAsia"/>
                <w:b/>
                <w:color w:val="000000"/>
                <w:szCs w:val="21"/>
              </w:rPr>
            </w:pPr>
            <w:r w:rsidRPr="0019677F">
              <w:rPr>
                <w:rFonts w:ascii="黑体" w:eastAsia="黑体" w:hAnsi="宋体" w:cs="仿宋_GB2312" w:hint="eastAsia"/>
                <w:b/>
                <w:color w:val="000000"/>
                <w:kern w:val="0"/>
                <w:szCs w:val="21"/>
                <w:lang/>
              </w:rPr>
              <w:t>专业</w:t>
            </w:r>
          </w:p>
        </w:tc>
        <w:tc>
          <w:tcPr>
            <w:tcW w:w="1168" w:type="dxa"/>
            <w:noWrap/>
            <w:tcMar>
              <w:top w:w="15" w:type="dxa"/>
              <w:left w:w="15" w:type="dxa"/>
              <w:right w:w="15" w:type="dxa"/>
            </w:tcMar>
            <w:vAlign w:val="center"/>
          </w:tcPr>
          <w:p w:rsidR="0019677F" w:rsidRPr="0019677F" w:rsidRDefault="0019677F" w:rsidP="00802EBE">
            <w:pPr>
              <w:widowControl/>
              <w:jc w:val="center"/>
              <w:textAlignment w:val="center"/>
              <w:rPr>
                <w:rFonts w:ascii="黑体" w:eastAsia="黑体" w:hAnsi="宋体" w:cs="仿宋_GB2312" w:hint="eastAsia"/>
                <w:b/>
                <w:color w:val="000000"/>
                <w:szCs w:val="21"/>
              </w:rPr>
            </w:pPr>
            <w:r w:rsidRPr="0019677F">
              <w:rPr>
                <w:rFonts w:ascii="黑体" w:eastAsia="黑体" w:hAnsi="宋体" w:cs="仿宋_GB2312" w:hint="eastAsia"/>
                <w:b/>
                <w:color w:val="000000"/>
                <w:kern w:val="0"/>
                <w:szCs w:val="21"/>
                <w:lang/>
              </w:rPr>
              <w:t>毕业院校</w:t>
            </w:r>
          </w:p>
        </w:tc>
        <w:tc>
          <w:tcPr>
            <w:tcW w:w="964" w:type="dxa"/>
            <w:noWrap/>
            <w:tcMar>
              <w:top w:w="15" w:type="dxa"/>
              <w:left w:w="15" w:type="dxa"/>
              <w:right w:w="15" w:type="dxa"/>
            </w:tcMar>
            <w:vAlign w:val="center"/>
          </w:tcPr>
          <w:p w:rsidR="0019677F" w:rsidRPr="0019677F" w:rsidRDefault="0019677F" w:rsidP="00802EBE">
            <w:pPr>
              <w:widowControl/>
              <w:jc w:val="center"/>
              <w:textAlignment w:val="center"/>
              <w:rPr>
                <w:rFonts w:ascii="黑体" w:eastAsia="黑体" w:hAnsi="宋体" w:cs="仿宋_GB2312" w:hint="eastAsia"/>
                <w:b/>
                <w:color w:val="000000"/>
                <w:szCs w:val="21"/>
              </w:rPr>
            </w:pPr>
            <w:r w:rsidRPr="0019677F">
              <w:rPr>
                <w:rFonts w:ascii="黑体" w:eastAsia="黑体" w:hAnsi="宋体" w:cs="仿宋_GB2312" w:hint="eastAsia"/>
                <w:b/>
                <w:color w:val="000000"/>
                <w:kern w:val="0"/>
                <w:szCs w:val="21"/>
                <w:lang/>
              </w:rPr>
              <w:t>资格要求</w:t>
            </w:r>
          </w:p>
        </w:tc>
        <w:tc>
          <w:tcPr>
            <w:tcW w:w="1961" w:type="dxa"/>
            <w:noWrap/>
            <w:tcMar>
              <w:top w:w="15" w:type="dxa"/>
              <w:left w:w="15" w:type="dxa"/>
              <w:right w:w="15" w:type="dxa"/>
            </w:tcMar>
            <w:vAlign w:val="center"/>
          </w:tcPr>
          <w:p w:rsidR="0019677F" w:rsidRPr="0019677F" w:rsidRDefault="0019677F" w:rsidP="00802EBE">
            <w:pPr>
              <w:widowControl/>
              <w:jc w:val="center"/>
              <w:textAlignment w:val="center"/>
              <w:rPr>
                <w:rFonts w:ascii="黑体" w:eastAsia="黑体" w:hAnsi="宋体" w:cs="仿宋_GB2312" w:hint="eastAsia"/>
                <w:b/>
                <w:color w:val="000000"/>
                <w:szCs w:val="21"/>
              </w:rPr>
            </w:pPr>
            <w:r w:rsidRPr="0019677F">
              <w:rPr>
                <w:rFonts w:ascii="黑体" w:eastAsia="黑体" w:hAnsi="宋体" w:cs="仿宋_GB2312" w:hint="eastAsia"/>
                <w:b/>
                <w:color w:val="000000"/>
                <w:kern w:val="0"/>
                <w:szCs w:val="21"/>
                <w:lang/>
              </w:rPr>
              <w:t>备注</w:t>
            </w:r>
          </w:p>
        </w:tc>
      </w:tr>
      <w:tr w:rsidR="0019677F" w:rsidTr="0019677F">
        <w:trPr>
          <w:cantSplit/>
          <w:trHeight w:val="1100"/>
        </w:trPr>
        <w:tc>
          <w:tcPr>
            <w:tcW w:w="44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1</w:t>
            </w:r>
          </w:p>
        </w:tc>
        <w:tc>
          <w:tcPr>
            <w:tcW w:w="110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肿瘤科</w:t>
            </w:r>
          </w:p>
        </w:tc>
        <w:tc>
          <w:tcPr>
            <w:tcW w:w="593"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1</w:t>
            </w:r>
          </w:p>
        </w:tc>
        <w:tc>
          <w:tcPr>
            <w:tcW w:w="102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内科（肿瘤学）</w:t>
            </w:r>
          </w:p>
        </w:tc>
        <w:tc>
          <w:tcPr>
            <w:tcW w:w="1168"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执业医师</w:t>
            </w:r>
          </w:p>
        </w:tc>
        <w:tc>
          <w:tcPr>
            <w:tcW w:w="1961" w:type="dxa"/>
            <w:vMerge w:val="restart"/>
            <w:noWrap/>
            <w:tcMar>
              <w:top w:w="15" w:type="dxa"/>
              <w:left w:w="15" w:type="dxa"/>
              <w:right w:w="15" w:type="dxa"/>
            </w:tcMar>
            <w:vAlign w:val="center"/>
          </w:tcPr>
          <w:p w:rsidR="0019677F" w:rsidRPr="0019677F" w:rsidRDefault="0019677F" w:rsidP="00802EBE">
            <w:pPr>
              <w:spacing w:line="400" w:lineRule="exact"/>
              <w:jc w:val="left"/>
              <w:rPr>
                <w:rFonts w:ascii="仿宋_GB2312" w:eastAsia="仿宋_GB2312" w:hAnsiTheme="minorEastAsia" w:cs="仿宋_GB2312" w:hint="eastAsia"/>
                <w:szCs w:val="21"/>
              </w:rPr>
            </w:pPr>
            <w:r w:rsidRPr="0019677F">
              <w:rPr>
                <w:rFonts w:ascii="仿宋_GB2312" w:eastAsia="仿宋_GB2312" w:hAnsiTheme="minorEastAsia" w:cs="仿宋_GB2312" w:hint="eastAsia"/>
                <w:szCs w:val="21"/>
              </w:rPr>
              <w:t>博士研究生由医院免费提供100平方米过渡住房一套，发安家费30--300万元。</w:t>
            </w:r>
          </w:p>
          <w:p w:rsidR="0019677F" w:rsidRPr="0019677F" w:rsidRDefault="0019677F" w:rsidP="00802EBE">
            <w:pPr>
              <w:spacing w:line="400" w:lineRule="exact"/>
              <w:jc w:val="left"/>
              <w:rPr>
                <w:rFonts w:ascii="仿宋_GB2312" w:eastAsia="仿宋_GB2312" w:hAnsiTheme="minorEastAsia" w:cs="仿宋_GB2312" w:hint="eastAsia"/>
                <w:szCs w:val="21"/>
              </w:rPr>
            </w:pPr>
          </w:p>
          <w:p w:rsidR="0019677F" w:rsidRPr="0019677F" w:rsidRDefault="0019677F" w:rsidP="00802EBE">
            <w:pPr>
              <w:spacing w:line="400" w:lineRule="exact"/>
              <w:jc w:val="left"/>
              <w:rPr>
                <w:rFonts w:ascii="仿宋_GB2312" w:eastAsia="仿宋_GB2312" w:hAnsiTheme="minorEastAsia" w:cs="仿宋_GB2312" w:hint="eastAsia"/>
                <w:szCs w:val="21"/>
              </w:rPr>
            </w:pPr>
            <w:r w:rsidRPr="0019677F">
              <w:rPr>
                <w:rFonts w:ascii="仿宋_GB2312" w:eastAsia="仿宋_GB2312" w:hAnsiTheme="minorEastAsia" w:cs="仿宋_GB2312" w:hint="eastAsia"/>
                <w:szCs w:val="21"/>
              </w:rPr>
              <w:t>硕士研究生发安家费7万元或按广元市人才引进标准享受福利待遇（发安家费8万并连续5年发放生活补贴400元／月）。</w:t>
            </w:r>
          </w:p>
          <w:p w:rsidR="0019677F" w:rsidRPr="0019677F" w:rsidRDefault="0019677F" w:rsidP="00802EBE">
            <w:pPr>
              <w:spacing w:line="400" w:lineRule="exact"/>
              <w:jc w:val="left"/>
              <w:rPr>
                <w:rFonts w:ascii="仿宋_GB2312" w:eastAsia="仿宋_GB2312" w:hAnsiTheme="minorEastAsia" w:cs="仿宋_GB2312" w:hint="eastAsia"/>
                <w:szCs w:val="21"/>
              </w:rPr>
            </w:pPr>
          </w:p>
          <w:p w:rsidR="0019677F" w:rsidRPr="0019677F" w:rsidRDefault="0019677F" w:rsidP="00802EBE">
            <w:pPr>
              <w:rPr>
                <w:rFonts w:ascii="仿宋_GB2312" w:eastAsia="仿宋_GB2312" w:hAnsiTheme="minorEastAsia" w:cs="仿宋_GB2312" w:hint="eastAsia"/>
                <w:szCs w:val="21"/>
              </w:rPr>
            </w:pPr>
          </w:p>
          <w:p w:rsidR="0019677F" w:rsidRPr="0019677F" w:rsidRDefault="0019677F" w:rsidP="00802EBE">
            <w:pPr>
              <w:jc w:val="center"/>
              <w:rPr>
                <w:rFonts w:ascii="仿宋_GB2312" w:eastAsia="仿宋_GB2312" w:hAnsi="宋体" w:cs="仿宋_GB2312" w:hint="eastAsia"/>
                <w:color w:val="000000"/>
                <w:szCs w:val="21"/>
              </w:rPr>
            </w:pPr>
          </w:p>
        </w:tc>
      </w:tr>
      <w:tr w:rsidR="0019677F" w:rsidTr="0019677F">
        <w:trPr>
          <w:trHeight w:val="1100"/>
        </w:trPr>
        <w:tc>
          <w:tcPr>
            <w:tcW w:w="44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2</w:t>
            </w:r>
          </w:p>
        </w:tc>
        <w:tc>
          <w:tcPr>
            <w:tcW w:w="110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风湿免疫全科医疗科</w:t>
            </w:r>
          </w:p>
        </w:tc>
        <w:tc>
          <w:tcPr>
            <w:tcW w:w="593"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1</w:t>
            </w:r>
          </w:p>
        </w:tc>
        <w:tc>
          <w:tcPr>
            <w:tcW w:w="102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内科学、全科医学</w:t>
            </w:r>
          </w:p>
        </w:tc>
        <w:tc>
          <w:tcPr>
            <w:tcW w:w="1168"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执业医师</w:t>
            </w:r>
          </w:p>
        </w:tc>
        <w:tc>
          <w:tcPr>
            <w:tcW w:w="1961" w:type="dxa"/>
            <w:vMerge/>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r>
      <w:tr w:rsidR="0019677F" w:rsidTr="0019677F">
        <w:trPr>
          <w:trHeight w:val="1100"/>
        </w:trPr>
        <w:tc>
          <w:tcPr>
            <w:tcW w:w="44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3</w:t>
            </w:r>
          </w:p>
        </w:tc>
        <w:tc>
          <w:tcPr>
            <w:tcW w:w="110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心内科冠脉二病区</w:t>
            </w:r>
          </w:p>
        </w:tc>
        <w:tc>
          <w:tcPr>
            <w:tcW w:w="593"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1</w:t>
            </w:r>
          </w:p>
        </w:tc>
        <w:tc>
          <w:tcPr>
            <w:tcW w:w="102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内科学</w:t>
            </w:r>
          </w:p>
        </w:tc>
        <w:tc>
          <w:tcPr>
            <w:tcW w:w="1168"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执业医师、规培结业证</w:t>
            </w:r>
          </w:p>
        </w:tc>
        <w:tc>
          <w:tcPr>
            <w:tcW w:w="1961" w:type="dxa"/>
            <w:vMerge/>
            <w:noWrap/>
            <w:tcMar>
              <w:top w:w="15" w:type="dxa"/>
              <w:left w:w="15" w:type="dxa"/>
              <w:right w:w="15" w:type="dxa"/>
            </w:tcMar>
            <w:vAlign w:val="center"/>
          </w:tcPr>
          <w:p w:rsidR="0019677F" w:rsidRPr="0019677F" w:rsidRDefault="0019677F" w:rsidP="00802EBE">
            <w:pPr>
              <w:jc w:val="center"/>
              <w:rPr>
                <w:rFonts w:ascii="仿宋_GB2312" w:eastAsia="仿宋_GB2312" w:hAnsi="宋体" w:cs="仿宋_GB2312" w:hint="eastAsia"/>
                <w:color w:val="000000"/>
                <w:szCs w:val="21"/>
              </w:rPr>
            </w:pPr>
          </w:p>
        </w:tc>
      </w:tr>
      <w:tr w:rsidR="0019677F" w:rsidTr="0019677F">
        <w:trPr>
          <w:trHeight w:val="1100"/>
        </w:trPr>
        <w:tc>
          <w:tcPr>
            <w:tcW w:w="44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4</w:t>
            </w:r>
          </w:p>
        </w:tc>
        <w:tc>
          <w:tcPr>
            <w:tcW w:w="110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呼吸与危重症医学科</w:t>
            </w:r>
          </w:p>
        </w:tc>
        <w:tc>
          <w:tcPr>
            <w:tcW w:w="593"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3</w:t>
            </w:r>
          </w:p>
        </w:tc>
        <w:tc>
          <w:tcPr>
            <w:tcW w:w="102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内科学（专业方向呼吸、重症、呼吸介入）</w:t>
            </w:r>
          </w:p>
        </w:tc>
        <w:tc>
          <w:tcPr>
            <w:tcW w:w="1168"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执业医师</w:t>
            </w:r>
          </w:p>
        </w:tc>
        <w:tc>
          <w:tcPr>
            <w:tcW w:w="1961" w:type="dxa"/>
            <w:vMerge/>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r>
      <w:tr w:rsidR="0019677F" w:rsidTr="0019677F">
        <w:trPr>
          <w:trHeight w:val="1100"/>
        </w:trPr>
        <w:tc>
          <w:tcPr>
            <w:tcW w:w="44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5</w:t>
            </w:r>
          </w:p>
        </w:tc>
        <w:tc>
          <w:tcPr>
            <w:tcW w:w="110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急诊科</w:t>
            </w:r>
          </w:p>
        </w:tc>
        <w:tc>
          <w:tcPr>
            <w:tcW w:w="593"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2</w:t>
            </w:r>
          </w:p>
        </w:tc>
        <w:tc>
          <w:tcPr>
            <w:tcW w:w="102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临床医学、急诊或重症医学专业</w:t>
            </w:r>
          </w:p>
        </w:tc>
        <w:tc>
          <w:tcPr>
            <w:tcW w:w="1168"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执业医师</w:t>
            </w:r>
          </w:p>
        </w:tc>
        <w:tc>
          <w:tcPr>
            <w:tcW w:w="1961" w:type="dxa"/>
            <w:vMerge/>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r>
      <w:tr w:rsidR="0019677F" w:rsidTr="0019677F">
        <w:trPr>
          <w:trHeight w:val="1100"/>
        </w:trPr>
        <w:tc>
          <w:tcPr>
            <w:tcW w:w="44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6</w:t>
            </w:r>
          </w:p>
        </w:tc>
        <w:tc>
          <w:tcPr>
            <w:tcW w:w="110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眼科</w:t>
            </w:r>
          </w:p>
        </w:tc>
        <w:tc>
          <w:tcPr>
            <w:tcW w:w="593"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2</w:t>
            </w:r>
          </w:p>
        </w:tc>
        <w:tc>
          <w:tcPr>
            <w:tcW w:w="102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眼科</w:t>
            </w:r>
          </w:p>
        </w:tc>
        <w:tc>
          <w:tcPr>
            <w:tcW w:w="1168"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执业医师（执业范围为眼耳鼻喉专业）</w:t>
            </w:r>
          </w:p>
        </w:tc>
        <w:tc>
          <w:tcPr>
            <w:tcW w:w="1961" w:type="dxa"/>
            <w:vMerge/>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r>
      <w:tr w:rsidR="0019677F" w:rsidTr="0019677F">
        <w:trPr>
          <w:trHeight w:val="1100"/>
        </w:trPr>
        <w:tc>
          <w:tcPr>
            <w:tcW w:w="44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7</w:t>
            </w:r>
          </w:p>
        </w:tc>
        <w:tc>
          <w:tcPr>
            <w:tcW w:w="110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胸外科</w:t>
            </w:r>
          </w:p>
        </w:tc>
        <w:tc>
          <w:tcPr>
            <w:tcW w:w="593"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2</w:t>
            </w:r>
          </w:p>
        </w:tc>
        <w:tc>
          <w:tcPr>
            <w:tcW w:w="102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外科学</w:t>
            </w:r>
          </w:p>
        </w:tc>
        <w:tc>
          <w:tcPr>
            <w:tcW w:w="1168"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执业医师</w:t>
            </w:r>
          </w:p>
        </w:tc>
        <w:tc>
          <w:tcPr>
            <w:tcW w:w="1961" w:type="dxa"/>
            <w:vMerge/>
            <w:noWrap/>
            <w:tcMar>
              <w:top w:w="15" w:type="dxa"/>
              <w:left w:w="15" w:type="dxa"/>
              <w:right w:w="15" w:type="dxa"/>
            </w:tcMar>
            <w:vAlign w:val="center"/>
          </w:tcPr>
          <w:p w:rsidR="0019677F" w:rsidRPr="0019677F" w:rsidRDefault="0019677F" w:rsidP="00802EBE">
            <w:pPr>
              <w:jc w:val="center"/>
              <w:rPr>
                <w:rFonts w:ascii="仿宋_GB2312" w:eastAsia="仿宋_GB2312" w:hAnsi="宋体" w:cs="仿宋_GB2312" w:hint="eastAsia"/>
                <w:color w:val="000000"/>
                <w:szCs w:val="21"/>
              </w:rPr>
            </w:pPr>
          </w:p>
        </w:tc>
      </w:tr>
      <w:tr w:rsidR="0019677F" w:rsidTr="0019677F">
        <w:trPr>
          <w:trHeight w:val="1100"/>
        </w:trPr>
        <w:tc>
          <w:tcPr>
            <w:tcW w:w="44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8</w:t>
            </w:r>
          </w:p>
        </w:tc>
        <w:tc>
          <w:tcPr>
            <w:tcW w:w="110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肝胆外科</w:t>
            </w:r>
          </w:p>
        </w:tc>
        <w:tc>
          <w:tcPr>
            <w:tcW w:w="593"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2</w:t>
            </w:r>
          </w:p>
        </w:tc>
        <w:tc>
          <w:tcPr>
            <w:tcW w:w="1025" w:type="dxa"/>
            <w:tcBorders>
              <w:bottom w:val="single" w:sz="4" w:space="0" w:color="auto"/>
            </w:tcBorders>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tcBorders>
              <w:bottom w:val="single" w:sz="4" w:space="0" w:color="auto"/>
            </w:tcBorders>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外科学</w:t>
            </w:r>
          </w:p>
        </w:tc>
        <w:tc>
          <w:tcPr>
            <w:tcW w:w="1168" w:type="dxa"/>
            <w:tcBorders>
              <w:bottom w:val="single" w:sz="4" w:space="0" w:color="auto"/>
            </w:tcBorders>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tcBorders>
              <w:bottom w:val="single" w:sz="4" w:space="0" w:color="auto"/>
            </w:tcBorders>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执业医师</w:t>
            </w:r>
          </w:p>
        </w:tc>
        <w:tc>
          <w:tcPr>
            <w:tcW w:w="1961" w:type="dxa"/>
            <w:vMerge/>
            <w:tcBorders>
              <w:bottom w:val="single" w:sz="4" w:space="0" w:color="auto"/>
            </w:tcBorders>
            <w:noWrap/>
            <w:tcMar>
              <w:top w:w="15" w:type="dxa"/>
              <w:left w:w="15" w:type="dxa"/>
              <w:right w:w="15" w:type="dxa"/>
            </w:tcMar>
            <w:vAlign w:val="center"/>
          </w:tcPr>
          <w:p w:rsidR="0019677F" w:rsidRPr="0019677F" w:rsidRDefault="0019677F" w:rsidP="00802EBE">
            <w:pPr>
              <w:jc w:val="center"/>
              <w:rPr>
                <w:rFonts w:ascii="仿宋_GB2312" w:eastAsia="仿宋_GB2312" w:hAnsi="宋体" w:cs="仿宋_GB2312" w:hint="eastAsia"/>
                <w:color w:val="000000"/>
                <w:szCs w:val="21"/>
              </w:rPr>
            </w:pPr>
          </w:p>
        </w:tc>
      </w:tr>
      <w:tr w:rsidR="0019677F" w:rsidTr="0019677F">
        <w:trPr>
          <w:trHeight w:val="929"/>
        </w:trPr>
        <w:tc>
          <w:tcPr>
            <w:tcW w:w="44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9</w:t>
            </w:r>
          </w:p>
        </w:tc>
        <w:tc>
          <w:tcPr>
            <w:tcW w:w="110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心脏血管功能科诊断医师</w:t>
            </w:r>
          </w:p>
        </w:tc>
        <w:tc>
          <w:tcPr>
            <w:tcW w:w="593"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2</w:t>
            </w:r>
          </w:p>
        </w:tc>
        <w:tc>
          <w:tcPr>
            <w:tcW w:w="102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tcBorders>
              <w:top w:val="single" w:sz="4" w:space="0" w:color="auto"/>
              <w:bottom w:val="single" w:sz="4" w:space="0" w:color="auto"/>
              <w:right w:val="single" w:sz="4" w:space="0" w:color="auto"/>
            </w:tcBorders>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医学影像相关专业</w:t>
            </w:r>
          </w:p>
        </w:tc>
        <w:tc>
          <w:tcPr>
            <w:tcW w:w="116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9677F" w:rsidRPr="0019677F" w:rsidRDefault="0019677F" w:rsidP="00802EBE">
            <w:pPr>
              <w:jc w:val="center"/>
              <w:rPr>
                <w:rFonts w:ascii="仿宋_GB2312" w:eastAsia="仿宋_GB2312" w:hAnsi="宋体" w:cs="仿宋_GB2312" w:hint="eastAsia"/>
                <w:color w:val="000000"/>
                <w:szCs w:val="21"/>
              </w:rPr>
            </w:pPr>
          </w:p>
        </w:tc>
        <w:tc>
          <w:tcPr>
            <w:tcW w:w="1961"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9677F" w:rsidRPr="0019677F" w:rsidRDefault="0019677F" w:rsidP="00802EBE">
            <w:pPr>
              <w:jc w:val="center"/>
              <w:rPr>
                <w:rFonts w:ascii="仿宋_GB2312" w:eastAsia="仿宋_GB2312" w:hAnsi="宋体" w:cs="仿宋_GB2312" w:hint="eastAsia"/>
                <w:color w:val="000000"/>
                <w:szCs w:val="21"/>
              </w:rPr>
            </w:pPr>
          </w:p>
        </w:tc>
      </w:tr>
      <w:tr w:rsidR="0019677F" w:rsidTr="0019677F">
        <w:trPr>
          <w:trHeight w:val="660"/>
        </w:trPr>
        <w:tc>
          <w:tcPr>
            <w:tcW w:w="44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10</w:t>
            </w:r>
          </w:p>
        </w:tc>
        <w:tc>
          <w:tcPr>
            <w:tcW w:w="1104"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皮肤科</w:t>
            </w:r>
          </w:p>
        </w:tc>
        <w:tc>
          <w:tcPr>
            <w:tcW w:w="593"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1</w:t>
            </w:r>
          </w:p>
        </w:tc>
        <w:tc>
          <w:tcPr>
            <w:tcW w:w="102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tcBorders>
              <w:top w:val="single" w:sz="4" w:space="0" w:color="auto"/>
              <w:bottom w:val="single" w:sz="4" w:space="0" w:color="auto"/>
              <w:right w:val="single" w:sz="4" w:space="0" w:color="auto"/>
            </w:tcBorders>
            <w:noWrap/>
            <w:tcMar>
              <w:top w:w="15" w:type="dxa"/>
              <w:left w:w="15" w:type="dxa"/>
              <w:right w:w="15" w:type="dxa"/>
            </w:tcMar>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皮肤、性病学</w:t>
            </w:r>
          </w:p>
        </w:tc>
        <w:tc>
          <w:tcPr>
            <w:tcW w:w="116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9677F" w:rsidRPr="0019677F" w:rsidRDefault="0019677F" w:rsidP="00802EBE">
            <w:pPr>
              <w:jc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9677F" w:rsidRPr="0019677F" w:rsidRDefault="0019677F" w:rsidP="00802EBE">
            <w:pPr>
              <w:jc w:val="center"/>
              <w:rPr>
                <w:rFonts w:ascii="仿宋_GB2312" w:eastAsia="仿宋_GB2312" w:hAnsi="宋体" w:cs="仿宋_GB2312" w:hint="eastAsia"/>
                <w:color w:val="000000"/>
                <w:szCs w:val="21"/>
              </w:rPr>
            </w:pPr>
          </w:p>
        </w:tc>
        <w:tc>
          <w:tcPr>
            <w:tcW w:w="1961"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9677F" w:rsidRPr="0019677F" w:rsidRDefault="0019677F" w:rsidP="00802EBE">
            <w:pPr>
              <w:jc w:val="center"/>
              <w:rPr>
                <w:rFonts w:ascii="仿宋_GB2312" w:eastAsia="仿宋_GB2312" w:hAnsi="宋体" w:cs="仿宋_GB2312" w:hint="eastAsia"/>
                <w:color w:val="000000"/>
                <w:szCs w:val="21"/>
              </w:rPr>
            </w:pPr>
          </w:p>
        </w:tc>
      </w:tr>
      <w:tr w:rsidR="0019677F" w:rsidTr="0019677F">
        <w:trPr>
          <w:trHeight w:val="206"/>
        </w:trPr>
        <w:tc>
          <w:tcPr>
            <w:tcW w:w="445" w:type="dxa"/>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lastRenderedPageBreak/>
              <w:t>11</w:t>
            </w:r>
          </w:p>
        </w:tc>
        <w:tc>
          <w:tcPr>
            <w:tcW w:w="1104"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产科医师</w:t>
            </w:r>
          </w:p>
        </w:tc>
        <w:tc>
          <w:tcPr>
            <w:tcW w:w="593"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1</w:t>
            </w:r>
          </w:p>
        </w:tc>
        <w:tc>
          <w:tcPr>
            <w:tcW w:w="102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tcBorders>
              <w:top w:val="single" w:sz="4" w:space="0" w:color="auto"/>
              <w:bottom w:val="single" w:sz="4" w:space="0" w:color="auto"/>
              <w:right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临床医学</w:t>
            </w:r>
          </w:p>
        </w:tc>
        <w:tc>
          <w:tcPr>
            <w:tcW w:w="1168" w:type="dxa"/>
            <w:tcBorders>
              <w:top w:val="single" w:sz="4" w:space="0" w:color="auto"/>
              <w:left w:val="single" w:sz="4" w:space="0" w:color="auto"/>
              <w:bottom w:val="single" w:sz="4" w:space="0" w:color="auto"/>
              <w:right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Style w:val="font21"/>
                <w:rFonts w:hAnsi="宋体"/>
                <w:lang/>
              </w:rPr>
              <w:t>全日制</w:t>
            </w:r>
            <w:r w:rsidRPr="0019677F">
              <w:rPr>
                <w:rStyle w:val="font11"/>
                <w:rFonts w:ascii="仿宋_GB2312" w:eastAsia="仿宋_GB2312" w:hint="eastAsia"/>
                <w:lang/>
              </w:rPr>
              <w:t>普通高等学校</w:t>
            </w:r>
          </w:p>
        </w:tc>
        <w:tc>
          <w:tcPr>
            <w:tcW w:w="964" w:type="dxa"/>
            <w:tcBorders>
              <w:top w:val="single" w:sz="4" w:space="0" w:color="auto"/>
              <w:left w:val="single" w:sz="4" w:space="0" w:color="auto"/>
              <w:bottom w:val="single" w:sz="4" w:space="0" w:color="auto"/>
              <w:right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执业医师</w:t>
            </w:r>
          </w:p>
        </w:tc>
        <w:tc>
          <w:tcPr>
            <w:tcW w:w="1961" w:type="dxa"/>
            <w:vMerge/>
            <w:tcBorders>
              <w:top w:val="single" w:sz="4" w:space="0" w:color="auto"/>
              <w:left w:val="single" w:sz="4" w:space="0" w:color="auto"/>
              <w:bottom w:val="single" w:sz="4" w:space="0" w:color="auto"/>
              <w:right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r>
      <w:tr w:rsidR="0019677F" w:rsidTr="0019677F">
        <w:trPr>
          <w:trHeight w:val="206"/>
        </w:trPr>
        <w:tc>
          <w:tcPr>
            <w:tcW w:w="445" w:type="dxa"/>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12</w:t>
            </w:r>
          </w:p>
        </w:tc>
        <w:tc>
          <w:tcPr>
            <w:tcW w:w="1104"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审计科</w:t>
            </w:r>
          </w:p>
        </w:tc>
        <w:tc>
          <w:tcPr>
            <w:tcW w:w="593"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1</w:t>
            </w:r>
          </w:p>
        </w:tc>
        <w:tc>
          <w:tcPr>
            <w:tcW w:w="102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tcBorders>
              <w:top w:val="single" w:sz="4" w:space="0" w:color="auto"/>
              <w:bottom w:val="single" w:sz="4" w:space="0" w:color="auto"/>
              <w:right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财务管理、会计学、审计学</w:t>
            </w:r>
          </w:p>
        </w:tc>
        <w:tc>
          <w:tcPr>
            <w:tcW w:w="1168" w:type="dxa"/>
            <w:tcBorders>
              <w:top w:val="single" w:sz="4" w:space="0" w:color="auto"/>
              <w:left w:val="single" w:sz="4" w:space="0" w:color="auto"/>
              <w:bottom w:val="single" w:sz="4" w:space="0" w:color="auto"/>
              <w:right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tcBorders>
              <w:top w:val="single" w:sz="4" w:space="0" w:color="auto"/>
              <w:left w:val="single" w:sz="4" w:space="0" w:color="auto"/>
              <w:bottom w:val="single" w:sz="4" w:space="0" w:color="auto"/>
              <w:right w:val="single" w:sz="4" w:space="0" w:color="auto"/>
            </w:tcBorders>
            <w:vAlign w:val="center"/>
          </w:tcPr>
          <w:p w:rsidR="0019677F" w:rsidRPr="0019677F" w:rsidRDefault="0019677F" w:rsidP="00802EBE">
            <w:pPr>
              <w:jc w:val="center"/>
              <w:rPr>
                <w:rFonts w:ascii="仿宋_GB2312" w:eastAsia="仿宋_GB2312" w:hAnsi="宋体" w:cs="仿宋_GB2312" w:hint="eastAsia"/>
                <w:color w:val="000000"/>
                <w:szCs w:val="21"/>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19677F" w:rsidRPr="0019677F" w:rsidRDefault="0019677F" w:rsidP="00802EBE">
            <w:pPr>
              <w:jc w:val="center"/>
              <w:rPr>
                <w:rFonts w:ascii="仿宋_GB2312" w:eastAsia="仿宋_GB2312" w:hAnsi="宋体" w:cs="仿宋_GB2312" w:hint="eastAsia"/>
                <w:color w:val="000000"/>
                <w:szCs w:val="21"/>
              </w:rPr>
            </w:pPr>
          </w:p>
        </w:tc>
      </w:tr>
      <w:tr w:rsidR="0019677F" w:rsidTr="0019677F">
        <w:trPr>
          <w:trHeight w:val="763"/>
        </w:trPr>
        <w:tc>
          <w:tcPr>
            <w:tcW w:w="445" w:type="dxa"/>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13</w:t>
            </w:r>
          </w:p>
        </w:tc>
        <w:tc>
          <w:tcPr>
            <w:tcW w:w="1104"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组织科</w:t>
            </w:r>
          </w:p>
        </w:tc>
        <w:tc>
          <w:tcPr>
            <w:tcW w:w="593"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2</w:t>
            </w:r>
          </w:p>
        </w:tc>
        <w:tc>
          <w:tcPr>
            <w:tcW w:w="102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tcBorders>
              <w:top w:val="single" w:sz="4" w:space="0" w:color="auto"/>
              <w:bottom w:val="single" w:sz="4" w:space="0" w:color="auto"/>
              <w:right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人力资源管理、马克思主义理论、哲学、行政管理专业</w:t>
            </w:r>
          </w:p>
        </w:tc>
        <w:tc>
          <w:tcPr>
            <w:tcW w:w="1168" w:type="dxa"/>
            <w:tcBorders>
              <w:top w:val="single" w:sz="4" w:space="0" w:color="auto"/>
              <w:left w:val="single" w:sz="4" w:space="0" w:color="auto"/>
              <w:bottom w:val="single" w:sz="4" w:space="0" w:color="auto"/>
              <w:right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tcBorders>
              <w:top w:val="single" w:sz="4" w:space="0" w:color="auto"/>
              <w:left w:val="single" w:sz="4" w:space="0" w:color="auto"/>
              <w:bottom w:val="single" w:sz="4" w:space="0" w:color="auto"/>
              <w:right w:val="single" w:sz="4" w:space="0" w:color="auto"/>
            </w:tcBorders>
            <w:vAlign w:val="center"/>
          </w:tcPr>
          <w:p w:rsidR="0019677F" w:rsidRPr="0019677F" w:rsidRDefault="0019677F" w:rsidP="00802EBE">
            <w:pPr>
              <w:jc w:val="center"/>
              <w:rPr>
                <w:rFonts w:ascii="仿宋_GB2312" w:eastAsia="仿宋_GB2312" w:hAnsi="宋体" w:cs="仿宋_GB2312" w:hint="eastAsia"/>
                <w:color w:val="000000"/>
                <w:szCs w:val="21"/>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r>
      <w:tr w:rsidR="0019677F" w:rsidTr="0019677F">
        <w:trPr>
          <w:trHeight w:val="206"/>
        </w:trPr>
        <w:tc>
          <w:tcPr>
            <w:tcW w:w="445" w:type="dxa"/>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14</w:t>
            </w:r>
          </w:p>
        </w:tc>
        <w:tc>
          <w:tcPr>
            <w:tcW w:w="1104"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宣传统战科</w:t>
            </w:r>
          </w:p>
        </w:tc>
        <w:tc>
          <w:tcPr>
            <w:tcW w:w="593"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1</w:t>
            </w:r>
          </w:p>
        </w:tc>
        <w:tc>
          <w:tcPr>
            <w:tcW w:w="102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tcBorders>
              <w:top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汉语言文学、新闻与传播、新媒体专业</w:t>
            </w:r>
          </w:p>
        </w:tc>
        <w:tc>
          <w:tcPr>
            <w:tcW w:w="1168" w:type="dxa"/>
            <w:tcBorders>
              <w:top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tcBorders>
              <w:top w:val="single" w:sz="4" w:space="0" w:color="auto"/>
            </w:tcBorders>
            <w:vAlign w:val="center"/>
          </w:tcPr>
          <w:p w:rsidR="0019677F" w:rsidRPr="0019677F" w:rsidRDefault="0019677F" w:rsidP="00802EBE">
            <w:pPr>
              <w:jc w:val="center"/>
              <w:rPr>
                <w:rFonts w:ascii="仿宋_GB2312" w:eastAsia="仿宋_GB2312" w:hAnsi="宋体" w:cs="仿宋_GB2312" w:hint="eastAsia"/>
                <w:color w:val="000000"/>
                <w:szCs w:val="21"/>
              </w:rPr>
            </w:pPr>
          </w:p>
        </w:tc>
        <w:tc>
          <w:tcPr>
            <w:tcW w:w="1961" w:type="dxa"/>
            <w:vMerge/>
            <w:tcBorders>
              <w:top w:val="single" w:sz="4" w:space="0" w:color="auto"/>
            </w:tcBorders>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r>
      <w:tr w:rsidR="0019677F" w:rsidTr="0019677F">
        <w:trPr>
          <w:trHeight w:val="206"/>
        </w:trPr>
        <w:tc>
          <w:tcPr>
            <w:tcW w:w="445" w:type="dxa"/>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15</w:t>
            </w:r>
          </w:p>
        </w:tc>
        <w:tc>
          <w:tcPr>
            <w:tcW w:w="1104"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预防保健科</w:t>
            </w:r>
          </w:p>
        </w:tc>
        <w:tc>
          <w:tcPr>
            <w:tcW w:w="593"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1</w:t>
            </w:r>
          </w:p>
        </w:tc>
        <w:tc>
          <w:tcPr>
            <w:tcW w:w="102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临床医学/预防医学/公共卫生事业管理</w:t>
            </w:r>
          </w:p>
        </w:tc>
        <w:tc>
          <w:tcPr>
            <w:tcW w:w="1168"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vAlign w:val="center"/>
          </w:tcPr>
          <w:p w:rsidR="0019677F" w:rsidRPr="0019677F" w:rsidRDefault="0019677F" w:rsidP="00802EBE">
            <w:pPr>
              <w:jc w:val="center"/>
              <w:rPr>
                <w:rFonts w:ascii="仿宋_GB2312" w:eastAsia="仿宋_GB2312" w:hAnsi="宋体" w:cs="仿宋_GB2312" w:hint="eastAsia"/>
                <w:color w:val="000000"/>
                <w:szCs w:val="21"/>
              </w:rPr>
            </w:pPr>
          </w:p>
        </w:tc>
        <w:tc>
          <w:tcPr>
            <w:tcW w:w="1961" w:type="dxa"/>
            <w:vMerge/>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r>
      <w:tr w:rsidR="0019677F" w:rsidTr="0019677F">
        <w:trPr>
          <w:trHeight w:val="828"/>
        </w:trPr>
        <w:tc>
          <w:tcPr>
            <w:tcW w:w="445" w:type="dxa"/>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16</w:t>
            </w:r>
          </w:p>
        </w:tc>
        <w:tc>
          <w:tcPr>
            <w:tcW w:w="1104"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科教科科研数据统计和分析</w:t>
            </w:r>
          </w:p>
        </w:tc>
        <w:tc>
          <w:tcPr>
            <w:tcW w:w="593"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1</w:t>
            </w:r>
          </w:p>
        </w:tc>
        <w:tc>
          <w:tcPr>
            <w:tcW w:w="102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临床医学或教育类相关专业</w:t>
            </w:r>
          </w:p>
        </w:tc>
        <w:tc>
          <w:tcPr>
            <w:tcW w:w="1168"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c>
          <w:tcPr>
            <w:tcW w:w="1961" w:type="dxa"/>
            <w:vMerge/>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r>
      <w:tr w:rsidR="0019677F" w:rsidTr="0019677F">
        <w:trPr>
          <w:trHeight w:val="108"/>
        </w:trPr>
        <w:tc>
          <w:tcPr>
            <w:tcW w:w="445" w:type="dxa"/>
            <w:vAlign w:val="center"/>
          </w:tcPr>
          <w:p w:rsidR="0019677F" w:rsidRPr="0019677F" w:rsidRDefault="0019677F" w:rsidP="00802EBE">
            <w:pPr>
              <w:widowControl/>
              <w:jc w:val="center"/>
              <w:textAlignment w:val="center"/>
              <w:rPr>
                <w:rFonts w:ascii="仿宋_GB2312" w:eastAsia="仿宋_GB2312" w:hAnsi="宋体" w:cs="宋体" w:hint="eastAsia"/>
                <w:color w:val="000000"/>
                <w:szCs w:val="21"/>
              </w:rPr>
            </w:pPr>
            <w:r w:rsidRPr="0019677F">
              <w:rPr>
                <w:rFonts w:ascii="仿宋_GB2312" w:eastAsia="仿宋_GB2312" w:hAnsi="宋体" w:cs="宋体" w:hint="eastAsia"/>
                <w:color w:val="000000"/>
                <w:kern w:val="0"/>
                <w:szCs w:val="21"/>
                <w:lang/>
              </w:rPr>
              <w:t>17</w:t>
            </w:r>
          </w:p>
        </w:tc>
        <w:tc>
          <w:tcPr>
            <w:tcW w:w="1104"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护理</w:t>
            </w:r>
          </w:p>
        </w:tc>
        <w:tc>
          <w:tcPr>
            <w:tcW w:w="593"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5</w:t>
            </w:r>
          </w:p>
        </w:tc>
        <w:tc>
          <w:tcPr>
            <w:tcW w:w="102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研究生</w:t>
            </w:r>
          </w:p>
        </w:tc>
        <w:tc>
          <w:tcPr>
            <w:tcW w:w="675"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硕士</w:t>
            </w:r>
          </w:p>
        </w:tc>
        <w:tc>
          <w:tcPr>
            <w:tcW w:w="1339"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int="eastAsia"/>
                <w:szCs w:val="21"/>
              </w:rPr>
              <w:t>护理学、护理管理</w:t>
            </w:r>
          </w:p>
        </w:tc>
        <w:tc>
          <w:tcPr>
            <w:tcW w:w="1168"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r w:rsidRPr="0019677F">
              <w:rPr>
                <w:rFonts w:ascii="仿宋_GB2312" w:eastAsia="仿宋_GB2312" w:hAnsi="宋体" w:cs="仿宋_GB2312" w:hint="eastAsia"/>
                <w:color w:val="000000"/>
                <w:kern w:val="0"/>
                <w:szCs w:val="21"/>
                <w:lang/>
              </w:rPr>
              <w:t>全日制普通高等院校</w:t>
            </w:r>
          </w:p>
        </w:tc>
        <w:tc>
          <w:tcPr>
            <w:tcW w:w="964" w:type="dxa"/>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c>
          <w:tcPr>
            <w:tcW w:w="1961" w:type="dxa"/>
            <w:vMerge/>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r>
      <w:tr w:rsidR="0019677F" w:rsidTr="0019677F">
        <w:trPr>
          <w:trHeight w:val="158"/>
        </w:trPr>
        <w:tc>
          <w:tcPr>
            <w:tcW w:w="445" w:type="dxa"/>
            <w:vAlign w:val="center"/>
          </w:tcPr>
          <w:p w:rsidR="0019677F" w:rsidRPr="0019677F" w:rsidRDefault="0019677F" w:rsidP="0019677F">
            <w:pPr>
              <w:widowControl/>
              <w:jc w:val="center"/>
              <w:textAlignment w:val="center"/>
              <w:rPr>
                <w:rFonts w:ascii="仿宋_GB2312" w:eastAsia="仿宋_GB2312" w:hint="eastAsia"/>
                <w:szCs w:val="21"/>
              </w:rPr>
            </w:pPr>
            <w:r w:rsidRPr="0019677F">
              <w:rPr>
                <w:rFonts w:ascii="仿宋_GB2312" w:eastAsia="仿宋_GB2312" w:hAnsi="宋体" w:cs="宋体" w:hint="eastAsia"/>
                <w:color w:val="000000"/>
                <w:kern w:val="0"/>
                <w:szCs w:val="21"/>
                <w:lang/>
              </w:rPr>
              <w:t>18</w:t>
            </w:r>
          </w:p>
        </w:tc>
        <w:tc>
          <w:tcPr>
            <w:tcW w:w="1104" w:type="dxa"/>
            <w:vAlign w:val="center"/>
          </w:tcPr>
          <w:p w:rsidR="0019677F" w:rsidRPr="0019677F" w:rsidRDefault="0019677F" w:rsidP="0019677F">
            <w:pPr>
              <w:widowControl/>
              <w:jc w:val="center"/>
              <w:textAlignment w:val="center"/>
              <w:rPr>
                <w:rFonts w:ascii="仿宋_GB2312" w:eastAsia="仿宋_GB2312" w:hint="eastAsia"/>
                <w:szCs w:val="21"/>
              </w:rPr>
            </w:pPr>
            <w:r w:rsidRPr="0019677F">
              <w:rPr>
                <w:rFonts w:ascii="仿宋_GB2312" w:eastAsia="仿宋_GB2312" w:hAnsi="宋体" w:cs="仿宋_GB2312" w:hint="eastAsia"/>
                <w:color w:val="000000"/>
                <w:kern w:val="0"/>
                <w:szCs w:val="21"/>
                <w:lang/>
              </w:rPr>
              <w:t>护理</w:t>
            </w:r>
          </w:p>
        </w:tc>
        <w:tc>
          <w:tcPr>
            <w:tcW w:w="593" w:type="dxa"/>
            <w:vAlign w:val="center"/>
          </w:tcPr>
          <w:p w:rsidR="0019677F" w:rsidRPr="0019677F" w:rsidRDefault="0019677F" w:rsidP="0019677F">
            <w:pPr>
              <w:widowControl/>
              <w:jc w:val="center"/>
              <w:textAlignment w:val="center"/>
              <w:rPr>
                <w:rFonts w:ascii="仿宋_GB2312" w:eastAsia="仿宋_GB2312" w:hAnsi="宋体" w:cs="仿宋_GB2312" w:hint="eastAsia"/>
                <w:color w:val="000000"/>
                <w:kern w:val="0"/>
                <w:szCs w:val="21"/>
                <w:lang/>
              </w:rPr>
            </w:pPr>
            <w:r w:rsidRPr="0019677F">
              <w:rPr>
                <w:rFonts w:ascii="仿宋_GB2312" w:eastAsia="仿宋_GB2312" w:hAnsi="宋体" w:cs="仿宋_GB2312" w:hint="eastAsia"/>
                <w:color w:val="000000"/>
                <w:kern w:val="0"/>
                <w:szCs w:val="21"/>
                <w:lang/>
              </w:rPr>
              <w:t>40</w:t>
            </w:r>
          </w:p>
        </w:tc>
        <w:tc>
          <w:tcPr>
            <w:tcW w:w="1025" w:type="dxa"/>
            <w:vAlign w:val="center"/>
          </w:tcPr>
          <w:p w:rsidR="0019677F" w:rsidRPr="0019677F" w:rsidRDefault="0019677F" w:rsidP="0019677F">
            <w:pPr>
              <w:widowControl/>
              <w:jc w:val="center"/>
              <w:textAlignment w:val="center"/>
              <w:rPr>
                <w:rFonts w:ascii="仿宋_GB2312" w:eastAsia="仿宋_GB2312" w:hAnsi="宋体" w:cs="仿宋_GB2312" w:hint="eastAsia"/>
                <w:color w:val="000000"/>
                <w:kern w:val="0"/>
                <w:szCs w:val="21"/>
                <w:lang/>
              </w:rPr>
            </w:pPr>
            <w:r w:rsidRPr="0019677F">
              <w:rPr>
                <w:rFonts w:ascii="仿宋_GB2312" w:eastAsia="仿宋_GB2312" w:hAnsi="宋体" w:cs="仿宋_GB2312" w:hint="eastAsia"/>
                <w:color w:val="000000"/>
                <w:kern w:val="0"/>
                <w:szCs w:val="21"/>
                <w:lang/>
              </w:rPr>
              <w:t>本科</w:t>
            </w:r>
          </w:p>
        </w:tc>
        <w:tc>
          <w:tcPr>
            <w:tcW w:w="675" w:type="dxa"/>
            <w:vAlign w:val="center"/>
          </w:tcPr>
          <w:p w:rsidR="0019677F" w:rsidRPr="0019677F" w:rsidRDefault="0019677F" w:rsidP="0019677F">
            <w:pPr>
              <w:widowControl/>
              <w:jc w:val="center"/>
              <w:textAlignment w:val="center"/>
              <w:rPr>
                <w:rFonts w:ascii="仿宋_GB2312" w:eastAsia="仿宋_GB2312" w:hAnsi="宋体" w:cs="仿宋_GB2312" w:hint="eastAsia"/>
                <w:color w:val="000000"/>
                <w:kern w:val="0"/>
                <w:szCs w:val="21"/>
                <w:lang/>
              </w:rPr>
            </w:pPr>
            <w:r w:rsidRPr="0019677F">
              <w:rPr>
                <w:rFonts w:ascii="仿宋_GB2312" w:eastAsia="仿宋_GB2312" w:hAnsi="宋体" w:cs="仿宋_GB2312" w:hint="eastAsia"/>
                <w:color w:val="000000"/>
                <w:kern w:val="0"/>
                <w:szCs w:val="21"/>
                <w:lang/>
              </w:rPr>
              <w:t>学士</w:t>
            </w:r>
          </w:p>
        </w:tc>
        <w:tc>
          <w:tcPr>
            <w:tcW w:w="1339" w:type="dxa"/>
            <w:vAlign w:val="center"/>
          </w:tcPr>
          <w:p w:rsidR="0019677F" w:rsidRPr="0019677F" w:rsidRDefault="0019677F" w:rsidP="0019677F">
            <w:pPr>
              <w:widowControl/>
              <w:jc w:val="center"/>
              <w:textAlignment w:val="center"/>
              <w:rPr>
                <w:rFonts w:ascii="仿宋_GB2312" w:eastAsia="仿宋_GB2312" w:hAnsi="宋体" w:cs="仿宋_GB2312" w:hint="eastAsia"/>
                <w:color w:val="000000"/>
                <w:kern w:val="0"/>
                <w:szCs w:val="21"/>
                <w:lang/>
              </w:rPr>
            </w:pPr>
            <w:r w:rsidRPr="0019677F">
              <w:rPr>
                <w:rFonts w:ascii="仿宋_GB2312" w:eastAsia="仿宋_GB2312" w:hAnsi="宋体" w:cs="仿宋_GB2312" w:hint="eastAsia"/>
                <w:color w:val="000000"/>
                <w:kern w:val="0"/>
                <w:szCs w:val="21"/>
                <w:lang/>
              </w:rPr>
              <w:t>护理、护理学、护理管理</w:t>
            </w:r>
          </w:p>
        </w:tc>
        <w:tc>
          <w:tcPr>
            <w:tcW w:w="1168" w:type="dxa"/>
            <w:vAlign w:val="center"/>
          </w:tcPr>
          <w:p w:rsidR="0019677F" w:rsidRPr="0019677F" w:rsidRDefault="0019677F" w:rsidP="0019677F">
            <w:pPr>
              <w:widowControl/>
              <w:textAlignment w:val="center"/>
              <w:rPr>
                <w:rFonts w:ascii="仿宋_GB2312" w:eastAsia="仿宋_GB2312" w:hAnsi="宋体" w:cs="仿宋_GB2312" w:hint="eastAsia"/>
                <w:color w:val="000000"/>
                <w:kern w:val="0"/>
                <w:szCs w:val="21"/>
                <w:lang/>
              </w:rPr>
            </w:pPr>
            <w:r w:rsidRPr="0019677F">
              <w:rPr>
                <w:rFonts w:ascii="仿宋_GB2312" w:eastAsia="仿宋_GB2312" w:hAnsi="宋体" w:cs="仿宋_GB2312" w:hint="eastAsia"/>
                <w:color w:val="000000"/>
                <w:kern w:val="0"/>
                <w:szCs w:val="21"/>
                <w:lang/>
              </w:rPr>
              <w:t>全日制普通高等院校</w:t>
            </w:r>
          </w:p>
        </w:tc>
        <w:tc>
          <w:tcPr>
            <w:tcW w:w="964" w:type="dxa"/>
            <w:vAlign w:val="center"/>
          </w:tcPr>
          <w:p w:rsidR="0019677F" w:rsidRPr="0019677F" w:rsidRDefault="0019677F" w:rsidP="0019677F">
            <w:pPr>
              <w:widowControl/>
              <w:jc w:val="center"/>
              <w:textAlignment w:val="center"/>
              <w:rPr>
                <w:rFonts w:ascii="仿宋_GB2312" w:eastAsia="仿宋_GB2312" w:hAnsi="宋体" w:cs="仿宋_GB2312" w:hint="eastAsia"/>
                <w:color w:val="000000"/>
                <w:kern w:val="0"/>
                <w:szCs w:val="21"/>
                <w:lang/>
              </w:rPr>
            </w:pPr>
            <w:r w:rsidRPr="0019677F">
              <w:rPr>
                <w:rFonts w:ascii="仿宋_GB2312" w:eastAsia="仿宋_GB2312" w:hAnsi="宋体" w:cs="仿宋_GB2312" w:hint="eastAsia"/>
                <w:color w:val="000000"/>
                <w:kern w:val="0"/>
                <w:szCs w:val="21"/>
                <w:lang/>
              </w:rPr>
              <w:t>获省级三甲综合性医院规培结业证者可放宽至全日制普通高校专科学历</w:t>
            </w:r>
          </w:p>
        </w:tc>
        <w:tc>
          <w:tcPr>
            <w:tcW w:w="1961" w:type="dxa"/>
            <w:vMerge/>
            <w:vAlign w:val="center"/>
          </w:tcPr>
          <w:p w:rsidR="0019677F" w:rsidRPr="0019677F" w:rsidRDefault="0019677F" w:rsidP="00802EBE">
            <w:pPr>
              <w:widowControl/>
              <w:jc w:val="center"/>
              <w:textAlignment w:val="center"/>
              <w:rPr>
                <w:rFonts w:ascii="仿宋_GB2312" w:eastAsia="仿宋_GB2312" w:hAnsi="宋体" w:cs="仿宋_GB2312" w:hint="eastAsia"/>
                <w:color w:val="000000"/>
                <w:szCs w:val="21"/>
              </w:rPr>
            </w:pPr>
          </w:p>
        </w:tc>
      </w:tr>
      <w:tr w:rsidR="0019677F" w:rsidTr="00802EBE">
        <w:trPr>
          <w:trHeight w:val="976"/>
        </w:trPr>
        <w:tc>
          <w:tcPr>
            <w:tcW w:w="445" w:type="dxa"/>
            <w:vAlign w:val="center"/>
          </w:tcPr>
          <w:p w:rsidR="0019677F" w:rsidRPr="0019677F" w:rsidRDefault="0019677F" w:rsidP="00802EBE">
            <w:pPr>
              <w:widowControl/>
              <w:jc w:val="center"/>
              <w:textAlignment w:val="center"/>
              <w:rPr>
                <w:rFonts w:ascii="仿宋_GB2312" w:eastAsia="仿宋_GB2312" w:hAnsi="宋体" w:cs="宋体" w:hint="eastAsia"/>
                <w:color w:val="000000"/>
                <w:kern w:val="0"/>
                <w:szCs w:val="21"/>
                <w:lang/>
              </w:rPr>
            </w:pPr>
            <w:r w:rsidRPr="0019677F">
              <w:rPr>
                <w:rFonts w:ascii="仿宋_GB2312" w:eastAsia="仿宋_GB2312" w:hAnsi="宋体" w:cs="宋体" w:hint="eastAsia"/>
                <w:color w:val="000000"/>
                <w:kern w:val="0"/>
                <w:szCs w:val="21"/>
                <w:lang/>
              </w:rPr>
              <w:t>备注</w:t>
            </w:r>
          </w:p>
        </w:tc>
        <w:tc>
          <w:tcPr>
            <w:tcW w:w="8829" w:type="dxa"/>
            <w:gridSpan w:val="8"/>
            <w:vAlign w:val="center"/>
          </w:tcPr>
          <w:p w:rsidR="0019677F" w:rsidRPr="0019677F" w:rsidRDefault="0019677F" w:rsidP="00802EBE">
            <w:pPr>
              <w:widowControl/>
              <w:jc w:val="left"/>
              <w:textAlignment w:val="center"/>
              <w:rPr>
                <w:rFonts w:ascii="仿宋_GB2312" w:eastAsia="仿宋_GB2312" w:hAnsi="宋体" w:cs="仿宋_GB2312" w:hint="eastAsia"/>
                <w:color w:val="000000"/>
                <w:kern w:val="0"/>
                <w:szCs w:val="21"/>
                <w:lang/>
              </w:rPr>
            </w:pPr>
            <w:r w:rsidRPr="0019677F">
              <w:rPr>
                <w:rFonts w:ascii="仿宋_GB2312" w:eastAsia="仿宋_GB2312" w:hint="eastAsia"/>
                <w:szCs w:val="21"/>
              </w:rPr>
              <w:t xml:space="preserve">   1、取得副高及以上职称资格者可以于1970年1月1日以后出生，其余均须于1980年1月1日以后出生。2、全日制本科学历人员有1年以上省部级三甲综合性医院工作经历（不含规培、进修）或有中级及以上职称者可应聘本表相应岗位。3、所有执业医师的执业范围与招聘岗位一致。</w:t>
            </w:r>
          </w:p>
        </w:tc>
      </w:tr>
    </w:tbl>
    <w:p w:rsidR="005A1D35" w:rsidRPr="0019677F" w:rsidRDefault="005A1D35"/>
    <w:sectPr w:rsidR="005A1D35" w:rsidRPr="001967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D35" w:rsidRDefault="005A1D35" w:rsidP="0019677F">
      <w:r>
        <w:separator/>
      </w:r>
    </w:p>
  </w:endnote>
  <w:endnote w:type="continuationSeparator" w:id="1">
    <w:p w:rsidR="005A1D35" w:rsidRDefault="005A1D35" w:rsidP="001967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D35" w:rsidRDefault="005A1D35" w:rsidP="0019677F">
      <w:r>
        <w:separator/>
      </w:r>
    </w:p>
  </w:footnote>
  <w:footnote w:type="continuationSeparator" w:id="1">
    <w:p w:rsidR="005A1D35" w:rsidRDefault="005A1D35" w:rsidP="001967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677F"/>
    <w:rsid w:val="0019677F"/>
    <w:rsid w:val="005A1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7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6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677F"/>
    <w:rPr>
      <w:sz w:val="18"/>
      <w:szCs w:val="18"/>
    </w:rPr>
  </w:style>
  <w:style w:type="paragraph" w:styleId="a4">
    <w:name w:val="footer"/>
    <w:basedOn w:val="a"/>
    <w:link w:val="Char0"/>
    <w:uiPriority w:val="99"/>
    <w:semiHidden/>
    <w:unhideWhenUsed/>
    <w:rsid w:val="001967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677F"/>
    <w:rPr>
      <w:sz w:val="18"/>
      <w:szCs w:val="18"/>
    </w:rPr>
  </w:style>
  <w:style w:type="character" w:customStyle="1" w:styleId="font21">
    <w:name w:val="font21"/>
    <w:qFormat/>
    <w:rsid w:val="0019677F"/>
    <w:rPr>
      <w:rFonts w:ascii="仿宋_GB2312" w:eastAsia="仿宋_GB2312" w:cs="仿宋_GB2312" w:hint="eastAsia"/>
      <w:color w:val="000000"/>
      <w:sz w:val="21"/>
      <w:szCs w:val="21"/>
      <w:u w:val="none"/>
    </w:rPr>
  </w:style>
  <w:style w:type="character" w:customStyle="1" w:styleId="font11">
    <w:name w:val="font11"/>
    <w:qFormat/>
    <w:rsid w:val="0019677F"/>
    <w:rPr>
      <w:rFonts w:ascii="Times New Roman" w:hAnsi="Times New Roman" w:cs="Times New Roman"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171</Words>
  <Characters>980</Characters>
  <Application>Microsoft Office Word</Application>
  <DocSecurity>0</DocSecurity>
  <Lines>8</Lines>
  <Paragraphs>2</Paragraphs>
  <ScaleCrop>false</ScaleCrop>
  <Company>Sky123.Org</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2020-09-30T07:16:00Z</dcterms:created>
  <dcterms:modified xsi:type="dcterms:W3CDTF">2020-09-30T07:28:00Z</dcterms:modified>
</cp:coreProperties>
</file>