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-4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823"/>
        <w:gridCol w:w="1645"/>
        <w:gridCol w:w="1505"/>
        <w:gridCol w:w="1290"/>
        <w:gridCol w:w="1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44"/>
                <w:szCs w:val="44"/>
                <w:lang w:val="en-US" w:eastAsia="zh-CN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8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44"/>
                <w:szCs w:val="44"/>
                <w:lang w:val="en-US" w:eastAsia="zh-CN"/>
              </w:rPr>
              <w:t>温州市融资担保有限公司2020年面向社会公开招聘工作人员部分岗位入围资格复审人员名单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招考单位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岗位排名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方正小标宋简体" w:hAnsi="Helvetica" w:eastAsia="方正小标宋简体" w:cs="Helvetica"/>
                <w:sz w:val="28"/>
                <w:szCs w:val="28"/>
                <w:lang w:val="en-US" w:eastAsia="zh-CN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融资性业务经理1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史丛立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融资性业务经理1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黄文博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融资性业务经理1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林楠梁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风险经理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李逸伦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风险经理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蔡凯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温州市融资担保有限公司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风险经理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郑梦乔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资格复审合格后，进入面试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40898"/>
    <w:rsid w:val="4B6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393737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2020-09-08T08:11:00Z</dcterms:created>
  <dc:creator>Administrator</dc:creator>
  <cp:lastModifiedBy>Administrator</cp:lastModifiedBy>
  <dcterms:modified xsi:type="dcterms:W3CDTF">2020-09-08T08:12:36Z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