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eastAsia="仿宋_GB2312" w:cs="宋体"/>
          <w:sz w:val="28"/>
          <w:szCs w:val="28"/>
        </w:rPr>
        <w:t>附件1：</w:t>
      </w:r>
      <w:r>
        <w:rPr>
          <w:sz w:val="32"/>
          <w:szCs w:val="32"/>
        </w:rPr>
        <w:t xml:space="preserve">                   </w:t>
      </w:r>
      <w:r>
        <w:rPr>
          <w:rFonts w:hint="eastAsia" w:ascii="仿宋_GB2312" w:hAnsi="仿宋_GB2312" w:eastAsia="仿宋_GB2312" w:cs="仿宋_GB2312"/>
          <w:sz w:val="32"/>
          <w:szCs w:val="32"/>
        </w:rPr>
        <w:t>2020年浦江县妇幼保健院公开招考需求表</w:t>
      </w:r>
    </w:p>
    <w:tbl>
      <w:tblPr>
        <w:tblStyle w:val="3"/>
        <w:tblW w:w="14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425"/>
        <w:gridCol w:w="2820"/>
        <w:gridCol w:w="1590"/>
        <w:gridCol w:w="1860"/>
        <w:gridCol w:w="2460"/>
        <w:gridCol w:w="915"/>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  位</w:t>
            </w:r>
          </w:p>
        </w:tc>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岗位</w:t>
            </w:r>
          </w:p>
        </w:tc>
        <w:tc>
          <w:tcPr>
            <w:tcW w:w="28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w:t>
            </w:r>
          </w:p>
        </w:tc>
        <w:tc>
          <w:tcPr>
            <w:tcW w:w="15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18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技术职称</w:t>
            </w:r>
          </w:p>
        </w:tc>
        <w:tc>
          <w:tcPr>
            <w:tcW w:w="24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执业</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范围</w:t>
            </w:r>
          </w:p>
        </w:tc>
        <w:tc>
          <w:tcPr>
            <w:tcW w:w="91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需求数</w:t>
            </w:r>
          </w:p>
        </w:tc>
        <w:tc>
          <w:tcPr>
            <w:tcW w:w="269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restart"/>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浦</w:t>
            </w:r>
          </w:p>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江</w:t>
            </w:r>
          </w:p>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w:t>
            </w:r>
          </w:p>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妇</w:t>
            </w:r>
          </w:p>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幼</w:t>
            </w:r>
          </w:p>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保</w:t>
            </w:r>
          </w:p>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健</w:t>
            </w:r>
          </w:p>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院</w:t>
            </w: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护理</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护理</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大专</w:t>
            </w:r>
            <w:bookmarkStart w:id="0" w:name="_GoBack"/>
            <w:bookmarkEnd w:id="0"/>
            <w:r>
              <w:rPr>
                <w:rFonts w:hint="eastAsia" w:ascii="仿宋_GB2312" w:hAnsi="仿宋_GB2312" w:eastAsia="仿宋_GB2312" w:cs="仿宋_GB2312"/>
                <w:color w:val="000000" w:themeColor="text1"/>
                <w:sz w:val="24"/>
                <w:szCs w:val="24"/>
                <w14:textFill>
                  <w14:solidFill>
                    <w14:schemeClr w14:val="tx1"/>
                  </w14:solidFill>
                </w14:textFill>
              </w:rPr>
              <w:t>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护士及以上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护理</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698" w:type="dxa"/>
            <w:vAlign w:val="center"/>
          </w:tcPr>
          <w:p>
            <w:pPr>
              <w:spacing w:line="48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480" w:lineRule="auto"/>
              <w:jc w:val="center"/>
              <w:rPr>
                <w:rFonts w:ascii="仿宋_GB2312" w:hAnsi="仿宋_GB2312" w:eastAsia="仿宋_GB2312" w:cs="仿宋_GB2312"/>
                <w:sz w:val="24"/>
                <w:szCs w:val="24"/>
              </w:rPr>
            </w:pP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儿科</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临床医学或儿科学</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本科及以上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医师及以上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儿科</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98" w:type="dxa"/>
            <w:vMerge w:val="restart"/>
            <w:vAlign w:val="center"/>
          </w:tcPr>
          <w:p>
            <w:pPr>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2020年</w:t>
            </w:r>
            <w:r>
              <w:rPr>
                <w:rFonts w:hint="eastAsia" w:ascii="仿宋_GB2312" w:hAnsi="仿宋_GB2312" w:eastAsia="仿宋_GB2312" w:cs="仿宋_GB2312"/>
                <w:color w:val="000000" w:themeColor="text1"/>
                <w:sz w:val="24"/>
                <w:szCs w:val="24"/>
                <w14:textFill>
                  <w14:solidFill>
                    <w14:schemeClr w14:val="tx1"/>
                  </w14:solidFill>
                </w14:textFill>
              </w:rPr>
              <w:t>全日制普通高校应届毕业生技术</w:t>
            </w:r>
            <w:r>
              <w:rPr>
                <w:rFonts w:hint="eastAsia" w:ascii="仿宋_GB2312" w:hAnsi="仿宋_GB2312" w:eastAsia="仿宋_GB2312" w:cs="仿宋_GB2312"/>
                <w:sz w:val="24"/>
                <w:szCs w:val="24"/>
              </w:rPr>
              <w:t>职称不要求，非应届毕业生要求取得住院医师规范化培训证书以及正在参加住院医师规范化培训的需提供证书或相关证明。（具有中级及以上职称除外）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480" w:lineRule="auto"/>
              <w:jc w:val="center"/>
              <w:rPr>
                <w:rFonts w:ascii="仿宋_GB2312" w:hAnsi="仿宋_GB2312" w:eastAsia="仿宋_GB2312" w:cs="仿宋_GB2312"/>
                <w:sz w:val="24"/>
                <w:szCs w:val="24"/>
              </w:rPr>
            </w:pP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超声</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临床医学或医学影像</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本科及以上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医师及以上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医学影像</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98" w:type="dxa"/>
            <w:vMerge w:val="continue"/>
            <w:vAlign w:val="center"/>
          </w:tcPr>
          <w:p>
            <w:pPr>
              <w:spacing w:line="48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480" w:lineRule="auto"/>
              <w:jc w:val="center"/>
              <w:rPr>
                <w:rFonts w:ascii="仿宋_GB2312" w:hAnsi="仿宋_GB2312" w:eastAsia="仿宋_GB2312" w:cs="仿宋_GB2312"/>
                <w:sz w:val="24"/>
                <w:szCs w:val="24"/>
              </w:rPr>
            </w:pP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麻醉</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临床医学或麻醉学</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本科及以上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医师及以上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麻醉</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98" w:type="dxa"/>
            <w:vMerge w:val="continue"/>
            <w:vAlign w:val="center"/>
          </w:tcPr>
          <w:p>
            <w:pPr>
              <w:spacing w:line="48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480" w:lineRule="auto"/>
              <w:jc w:val="center"/>
              <w:rPr>
                <w:rFonts w:ascii="仿宋_GB2312" w:hAnsi="仿宋_GB2312" w:eastAsia="仿宋_GB2312" w:cs="仿宋_GB2312"/>
                <w:sz w:val="24"/>
                <w:szCs w:val="24"/>
              </w:rPr>
            </w:pP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放射诊断</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临床医学或医学影像</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本科及以上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医师及以上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医学影像和放射治疗</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98" w:type="dxa"/>
            <w:vMerge w:val="continue"/>
            <w:vAlign w:val="center"/>
          </w:tcPr>
          <w:p>
            <w:pPr>
              <w:spacing w:line="48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480" w:lineRule="auto"/>
              <w:jc w:val="center"/>
              <w:rPr>
                <w:rFonts w:ascii="仿宋_GB2312" w:hAnsi="仿宋_GB2312" w:eastAsia="仿宋_GB2312" w:cs="仿宋_GB2312"/>
                <w:sz w:val="24"/>
                <w:szCs w:val="24"/>
              </w:rPr>
            </w:pP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康复</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临床医学</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本科及以上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医师及以上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康复</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98" w:type="dxa"/>
            <w:vMerge w:val="continue"/>
            <w:vAlign w:val="center"/>
          </w:tcPr>
          <w:p>
            <w:pPr>
              <w:spacing w:line="48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480" w:lineRule="auto"/>
              <w:jc w:val="center"/>
              <w:rPr>
                <w:rFonts w:ascii="仿宋_GB2312" w:hAnsi="仿宋_GB2312" w:eastAsia="仿宋_GB2312" w:cs="仿宋_GB2312"/>
                <w:sz w:val="24"/>
                <w:szCs w:val="24"/>
              </w:rPr>
            </w:pP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心电图</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临床医学</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本科及以上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医师及以上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心电图</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98" w:type="dxa"/>
            <w:vMerge w:val="continue"/>
            <w:vAlign w:val="center"/>
          </w:tcPr>
          <w:p>
            <w:pPr>
              <w:spacing w:line="48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480" w:lineRule="auto"/>
              <w:jc w:val="center"/>
              <w:rPr>
                <w:rFonts w:ascii="仿宋_GB2312" w:hAnsi="仿宋_GB2312" w:eastAsia="仿宋_GB2312" w:cs="仿宋_GB2312"/>
                <w:sz w:val="24"/>
                <w:szCs w:val="24"/>
              </w:rPr>
            </w:pP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中医</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中医学</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本科及以上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中医师及以上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中医</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98" w:type="dxa"/>
            <w:vMerge w:val="continue"/>
            <w:vAlign w:val="center"/>
          </w:tcPr>
          <w:p>
            <w:pPr>
              <w:spacing w:line="48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480" w:lineRule="auto"/>
              <w:jc w:val="center"/>
              <w:rPr>
                <w:rFonts w:ascii="仿宋_GB2312" w:hAnsi="仿宋_GB2312" w:eastAsia="仿宋_GB2312" w:cs="仿宋_GB2312"/>
                <w:sz w:val="24"/>
                <w:szCs w:val="24"/>
              </w:rPr>
            </w:pP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眼科</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临床医学或眼科学</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本科及以上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医师及以上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眼科</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98" w:type="dxa"/>
            <w:vMerge w:val="continue"/>
            <w:vAlign w:val="center"/>
          </w:tcPr>
          <w:p>
            <w:pPr>
              <w:spacing w:line="48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480" w:lineRule="auto"/>
              <w:jc w:val="center"/>
              <w:rPr>
                <w:rFonts w:ascii="仿宋_GB2312" w:hAnsi="仿宋_GB2312" w:eastAsia="仿宋_GB2312" w:cs="仿宋_GB2312"/>
                <w:sz w:val="24"/>
                <w:szCs w:val="24"/>
              </w:rPr>
            </w:pPr>
          </w:p>
        </w:tc>
        <w:tc>
          <w:tcPr>
            <w:tcW w:w="142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眼视光</w:t>
            </w:r>
          </w:p>
        </w:tc>
        <w:tc>
          <w:tcPr>
            <w:tcW w:w="282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临床医学或眼视光学</w:t>
            </w:r>
          </w:p>
        </w:tc>
        <w:tc>
          <w:tcPr>
            <w:tcW w:w="159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本科及以上</w:t>
            </w:r>
          </w:p>
        </w:tc>
        <w:tc>
          <w:tcPr>
            <w:tcW w:w="18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医师及以上</w:t>
            </w:r>
          </w:p>
        </w:tc>
        <w:tc>
          <w:tcPr>
            <w:tcW w:w="2460"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眼科</w:t>
            </w:r>
          </w:p>
        </w:tc>
        <w:tc>
          <w:tcPr>
            <w:tcW w:w="915" w:type="dxa"/>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98" w:type="dxa"/>
            <w:vMerge w:val="continue"/>
            <w:vAlign w:val="center"/>
          </w:tcPr>
          <w:p>
            <w:pPr>
              <w:spacing w:line="480" w:lineRule="auto"/>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line="48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合计</w:t>
            </w:r>
          </w:p>
        </w:tc>
        <w:tc>
          <w:tcPr>
            <w:tcW w:w="13768" w:type="dxa"/>
            <w:gridSpan w:val="7"/>
            <w:vAlign w:val="center"/>
          </w:tcPr>
          <w:p>
            <w:pPr>
              <w:spacing w:line="48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312D1"/>
    <w:rsid w:val="21B55132"/>
    <w:rsid w:val="5CA312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2020-07-21T08:04:00Z</dcterms:created>
  <dc:creator>阿噜。</dc:creator>
  <cp:lastModifiedBy>阿噜。</cp:lastModifiedBy>
  <dcterms:modified xsi:type="dcterms:W3CDTF">2020-07-21T08:11:23Z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