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353"/>
        <w:gridCol w:w="795"/>
        <w:gridCol w:w="29"/>
        <w:gridCol w:w="1022"/>
        <w:gridCol w:w="1357"/>
        <w:gridCol w:w="860"/>
        <w:gridCol w:w="158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市（县）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0"/>
                <w:sz w:val="24"/>
                <w:szCs w:val="24"/>
                <w:bdr w:val="none" w:color="auto" w:sz="0" w:space="0"/>
              </w:rPr>
              <w:t>学历及学位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裸视视力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矫正视力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执业资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1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73"/>
        <w:gridCol w:w="1415"/>
        <w:gridCol w:w="271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庭成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何特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突出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业绩</w:t>
            </w:r>
          </w:p>
        </w:tc>
        <w:tc>
          <w:tcPr>
            <w:tcW w:w="75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5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审核日期：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5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、此表双面打印，可电脑填写或蓝黑色钢笔填写，字迹要清楚；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2019-12-17T00:52:42Z</dcterms:created>
  <dc:creator>Administrator</dc:creator>
  <cp:lastModifiedBy>唐豆豆</cp:lastModifiedBy>
  <dcterms:modified xsi:type="dcterms:W3CDTF">2019-12-17T00:53:08Z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