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363"/>
        <w:tblW w:w="15342" w:type="dxa"/>
        <w:tblInd w:w="0" w:type="dxa"/>
        <w:tblLayout w:type="fixed"/>
        <w:tblCellMar>
          <w:top w:w="0" w:type="dxa"/>
          <w:left w:w="108" w:type="dxa"/>
          <w:bottom w:w="0" w:type="dxa"/>
          <w:right w:w="108" w:type="dxa"/>
        </w:tblCellMar>
      </w:tblPr>
      <w:tblGrid>
        <w:gridCol w:w="1001"/>
        <w:gridCol w:w="940"/>
        <w:gridCol w:w="706"/>
        <w:gridCol w:w="564"/>
        <w:gridCol w:w="706"/>
        <w:gridCol w:w="705"/>
        <w:gridCol w:w="847"/>
        <w:gridCol w:w="26"/>
        <w:gridCol w:w="820"/>
        <w:gridCol w:w="1552"/>
        <w:gridCol w:w="2257"/>
        <w:gridCol w:w="5218"/>
      </w:tblGrid>
      <w:tr>
        <w:tblPrEx>
          <w:tblLayout w:type="fixed"/>
          <w:tblCellMar>
            <w:top w:w="0" w:type="dxa"/>
            <w:left w:w="108" w:type="dxa"/>
            <w:bottom w:w="0" w:type="dxa"/>
            <w:right w:w="108" w:type="dxa"/>
          </w:tblCellMar>
        </w:tblPrEx>
        <w:trPr>
          <w:trHeight w:val="256" w:hRule="atLeast"/>
        </w:trPr>
        <w:tc>
          <w:tcPr>
            <w:tcW w:w="15342" w:type="dxa"/>
            <w:gridSpan w:val="12"/>
            <w:tcBorders>
              <w:top w:val="nil"/>
              <w:left w:val="nil"/>
              <w:bottom w:val="nil"/>
              <w:right w:val="nil"/>
            </w:tcBorders>
            <w:shd w:val="clear" w:color="auto" w:fill="auto"/>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w:t>
            </w:r>
          </w:p>
        </w:tc>
      </w:tr>
      <w:tr>
        <w:tblPrEx>
          <w:tblLayout w:type="fixed"/>
          <w:tblCellMar>
            <w:top w:w="0" w:type="dxa"/>
            <w:left w:w="108" w:type="dxa"/>
            <w:bottom w:w="0" w:type="dxa"/>
            <w:right w:w="108" w:type="dxa"/>
          </w:tblCellMar>
        </w:tblPrEx>
        <w:trPr>
          <w:trHeight w:val="374" w:hRule="atLeast"/>
        </w:trPr>
        <w:tc>
          <w:tcPr>
            <w:tcW w:w="15342" w:type="dxa"/>
            <w:gridSpan w:val="12"/>
            <w:tcBorders>
              <w:top w:val="nil"/>
              <w:left w:val="nil"/>
              <w:bottom w:val="nil"/>
              <w:right w:val="nil"/>
            </w:tcBorders>
            <w:shd w:val="clear" w:color="auto" w:fill="auto"/>
            <w:vAlign w:val="center"/>
          </w:tcPr>
          <w:p>
            <w:pPr>
              <w:widowControl/>
              <w:jc w:val="center"/>
              <w:rPr>
                <w:rFonts w:ascii="方正小标宋简体" w:hAnsi="宋体" w:eastAsia="方正小标宋简体" w:cs="宋体"/>
                <w:bCs/>
                <w:color w:val="000000"/>
                <w:kern w:val="0"/>
                <w:sz w:val="36"/>
                <w:szCs w:val="36"/>
              </w:rPr>
            </w:pPr>
            <w:bookmarkStart w:id="0" w:name="_GoBack"/>
            <w:r>
              <w:rPr>
                <w:rFonts w:hint="eastAsia" w:ascii="方正小标宋简体" w:hAnsi="宋体" w:eastAsia="方正小标宋简体" w:cs="宋体"/>
                <w:bCs/>
                <w:color w:val="000000"/>
                <w:kern w:val="0"/>
                <w:sz w:val="36"/>
                <w:szCs w:val="36"/>
              </w:rPr>
              <w:t>2019年开阳县卫健系统事业单位公开招聘医务人员岗位一览表</w:t>
            </w:r>
          </w:p>
          <w:bookmarkEnd w:id="0"/>
          <w:p>
            <w:pPr>
              <w:widowControl/>
              <w:jc w:val="center"/>
              <w:rPr>
                <w:rFonts w:ascii="方正小标宋简体" w:hAnsi="宋体" w:eastAsia="方正小标宋简体" w:cs="宋体"/>
                <w:bCs/>
                <w:color w:val="000000"/>
                <w:kern w:val="0"/>
                <w:sz w:val="18"/>
                <w:szCs w:val="18"/>
              </w:rPr>
            </w:pPr>
          </w:p>
        </w:tc>
      </w:tr>
      <w:tr>
        <w:tblPrEx>
          <w:tblLayout w:type="fixed"/>
          <w:tblCellMar>
            <w:top w:w="0" w:type="dxa"/>
            <w:left w:w="108" w:type="dxa"/>
            <w:bottom w:w="0" w:type="dxa"/>
            <w:right w:w="108" w:type="dxa"/>
          </w:tblCellMar>
        </w:tblPrEx>
        <w:trPr>
          <w:trHeight w:val="250" w:hRule="atLeast"/>
        </w:trPr>
        <w:tc>
          <w:tcPr>
            <w:tcW w:w="10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单位代码</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单位性质</w:t>
            </w:r>
          </w:p>
        </w:tc>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招聘人数</w:t>
            </w:r>
          </w:p>
        </w:tc>
        <w:tc>
          <w:tcPr>
            <w:tcW w:w="31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w:t>
            </w:r>
          </w:p>
        </w:tc>
        <w:tc>
          <w:tcPr>
            <w:tcW w:w="38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要求</w:t>
            </w:r>
          </w:p>
        </w:tc>
        <w:tc>
          <w:tcPr>
            <w:tcW w:w="52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369"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岗位代码</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岗位类别</w:t>
            </w:r>
          </w:p>
        </w:tc>
        <w:tc>
          <w:tcPr>
            <w:tcW w:w="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岗位职能简介</w:t>
            </w:r>
          </w:p>
        </w:tc>
        <w:tc>
          <w:tcPr>
            <w:tcW w:w="8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岗位招聘人数</w:t>
            </w: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学历</w:t>
            </w:r>
          </w:p>
        </w:tc>
        <w:tc>
          <w:tcPr>
            <w:tcW w:w="2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专业</w:t>
            </w:r>
          </w:p>
        </w:tc>
        <w:tc>
          <w:tcPr>
            <w:tcW w:w="5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744" w:hRule="atLeast"/>
        </w:trPr>
        <w:tc>
          <w:tcPr>
            <w:tcW w:w="10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201901</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县人民医院</w:t>
            </w:r>
          </w:p>
        </w:tc>
        <w:tc>
          <w:tcPr>
            <w:tcW w:w="70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差额事业</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nil"/>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Cs w:val="21"/>
              </w:rPr>
              <w:t>具有执业医师资格，一年以上县级及以上医院工作经历；学士及以上学位</w:t>
            </w:r>
          </w:p>
        </w:tc>
      </w:tr>
      <w:tr>
        <w:tblPrEx>
          <w:tblLayout w:type="fixed"/>
          <w:tblCellMar>
            <w:top w:w="0" w:type="dxa"/>
            <w:left w:w="108" w:type="dxa"/>
            <w:bottom w:w="0" w:type="dxa"/>
            <w:right w:w="108" w:type="dxa"/>
          </w:tblCellMar>
        </w:tblPrEx>
        <w:trPr>
          <w:trHeight w:val="712" w:hRule="atLeast"/>
        </w:trPr>
        <w:tc>
          <w:tcPr>
            <w:tcW w:w="10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Cs w:val="21"/>
              </w:rPr>
              <w:t>具有执业医师资格，一年以上县级及以上医院工作经历；学士及以上学位</w:t>
            </w:r>
          </w:p>
        </w:tc>
      </w:tr>
      <w:tr>
        <w:tblPrEx>
          <w:tblLayout w:type="fixed"/>
          <w:tblCellMar>
            <w:top w:w="0" w:type="dxa"/>
            <w:left w:w="108" w:type="dxa"/>
            <w:bottom w:w="0" w:type="dxa"/>
            <w:right w:w="108" w:type="dxa"/>
          </w:tblCellMar>
        </w:tblPrEx>
        <w:trPr>
          <w:trHeight w:val="694"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03</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临床护士</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护理学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具有护士执业资格，二年以上县级及以上医院工作经历；护师以上职称。学士及以上学位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药学专业</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具备西药师资格以上，二年以上县级及以上医院工作经历；学士及以上学位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影像医师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超声医师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07</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检验技师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医学检验</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具有检验师资格以上，二年以上县级及以上医院工作经历；学士及以上学位</w:t>
            </w:r>
          </w:p>
        </w:tc>
      </w:tr>
      <w:tr>
        <w:tblPrEx>
          <w:tblLayout w:type="fixed"/>
          <w:tblCellMar>
            <w:top w:w="0" w:type="dxa"/>
            <w:left w:w="108" w:type="dxa"/>
            <w:bottom w:w="0" w:type="dxa"/>
            <w:right w:w="108" w:type="dxa"/>
          </w:tblCellMar>
        </w:tblPrEx>
        <w:trPr>
          <w:trHeight w:val="520" w:hRule="atLeast"/>
        </w:trPr>
        <w:tc>
          <w:tcPr>
            <w:tcW w:w="100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财务管理岗位</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会计及相关专业</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具有三年及以上财会岗位工作经验，学士及以上学位</w:t>
            </w:r>
          </w:p>
        </w:tc>
      </w:tr>
      <w:tr>
        <w:tblPrEx>
          <w:tblLayout w:type="fixed"/>
          <w:tblCellMar>
            <w:top w:w="0" w:type="dxa"/>
            <w:left w:w="108" w:type="dxa"/>
            <w:bottom w:w="0" w:type="dxa"/>
            <w:right w:w="108" w:type="dxa"/>
          </w:tblCellMar>
        </w:tblPrEx>
        <w:trPr>
          <w:trHeight w:val="300" w:hRule="atLeast"/>
        </w:trPr>
        <w:tc>
          <w:tcPr>
            <w:tcW w:w="10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201902</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县中西医结合医院</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差额事业</w:t>
            </w:r>
          </w:p>
        </w:tc>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临床医学、麻醉学、口腔医学、中医学、中西医临床医学</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具有执业医师资格和一年以上县级及以上医院工作经历；学士及以上学位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具有执业医师资格和一年以上县级及以上医院工作经历；学士及以上学位</w:t>
            </w:r>
          </w:p>
        </w:tc>
      </w:tr>
      <w:tr>
        <w:tblPrEx>
          <w:tblLayout w:type="fixed"/>
          <w:tblCellMar>
            <w:top w:w="0" w:type="dxa"/>
            <w:left w:w="108" w:type="dxa"/>
            <w:bottom w:w="0" w:type="dxa"/>
            <w:right w:w="108" w:type="dxa"/>
          </w:tblCellMar>
        </w:tblPrEx>
        <w:trPr>
          <w:trHeight w:val="460"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03</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会计及相关专业</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具有助理会计师及以上职称。学士及以上学位</w:t>
            </w:r>
          </w:p>
        </w:tc>
      </w:tr>
      <w:tr>
        <w:tblPrEx>
          <w:tblLayout w:type="fixed"/>
          <w:tblCellMar>
            <w:top w:w="0" w:type="dxa"/>
            <w:left w:w="108" w:type="dxa"/>
            <w:bottom w:w="0" w:type="dxa"/>
            <w:right w:w="108" w:type="dxa"/>
          </w:tblCellMar>
        </w:tblPrEx>
        <w:trPr>
          <w:trHeight w:val="560" w:hRule="atLeast"/>
        </w:trPr>
        <w:tc>
          <w:tcPr>
            <w:tcW w:w="100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单位代码</w:t>
            </w:r>
          </w:p>
        </w:tc>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70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单位性质</w:t>
            </w:r>
          </w:p>
        </w:tc>
        <w:tc>
          <w:tcPr>
            <w:tcW w:w="564"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招聘人数</w:t>
            </w:r>
          </w:p>
        </w:tc>
        <w:tc>
          <w:tcPr>
            <w:tcW w:w="31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w:t>
            </w:r>
          </w:p>
        </w:tc>
        <w:tc>
          <w:tcPr>
            <w:tcW w:w="3809"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要求</w:t>
            </w:r>
          </w:p>
        </w:tc>
        <w:tc>
          <w:tcPr>
            <w:tcW w:w="5218"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550" w:hRule="atLeast"/>
        </w:trPr>
        <w:tc>
          <w:tcPr>
            <w:tcW w:w="1001" w:type="dxa"/>
            <w:vMerge w:val="continue"/>
            <w:tcBorders>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564"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岗位代码</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岗位类别</w:t>
            </w:r>
          </w:p>
        </w:tc>
        <w:tc>
          <w:tcPr>
            <w:tcW w:w="8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岗位职能简介</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岗位招聘人数</w:t>
            </w:r>
          </w:p>
        </w:tc>
        <w:tc>
          <w:tcPr>
            <w:tcW w:w="155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学历</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专业</w:t>
            </w:r>
          </w:p>
        </w:tc>
        <w:tc>
          <w:tcPr>
            <w:tcW w:w="5218" w:type="dxa"/>
            <w:vMerge w:val="continue"/>
            <w:tcBorders>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287" w:hRule="atLeast"/>
        </w:trPr>
        <w:tc>
          <w:tcPr>
            <w:tcW w:w="10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201903</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县妇幼保健院</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儿科医师</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具有学士及以上学位</w:t>
            </w:r>
          </w:p>
        </w:tc>
      </w:tr>
      <w:tr>
        <w:tblPrEx>
          <w:tblLayout w:type="fixed"/>
          <w:tblCellMar>
            <w:top w:w="0" w:type="dxa"/>
            <w:left w:w="108" w:type="dxa"/>
            <w:bottom w:w="0" w:type="dxa"/>
            <w:right w:w="108" w:type="dxa"/>
          </w:tblCellMar>
        </w:tblPrEx>
        <w:trPr>
          <w:trHeight w:val="251"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妇产科医师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具有执业医师资格，学士及以上学位</w:t>
            </w:r>
          </w:p>
        </w:tc>
      </w:tr>
      <w:tr>
        <w:tblPrEx>
          <w:tblLayout w:type="fixed"/>
          <w:tblCellMar>
            <w:top w:w="0" w:type="dxa"/>
            <w:left w:w="108" w:type="dxa"/>
            <w:bottom w:w="0" w:type="dxa"/>
            <w:right w:w="108" w:type="dxa"/>
          </w:tblCellMar>
        </w:tblPrEx>
        <w:trPr>
          <w:trHeight w:val="393"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201904</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乡镇卫生院1</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具有执业医师及以上资格者，学历可放宽到大专</w:t>
            </w:r>
          </w:p>
        </w:tc>
      </w:tr>
      <w:tr>
        <w:tblPrEx>
          <w:tblLayout w:type="fixed"/>
          <w:tblCellMar>
            <w:top w:w="0" w:type="dxa"/>
            <w:left w:w="108" w:type="dxa"/>
            <w:bottom w:w="0" w:type="dxa"/>
            <w:right w:w="108" w:type="dxa"/>
          </w:tblCellMar>
        </w:tblPrEx>
        <w:trPr>
          <w:trHeight w:val="300"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201905</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乡镇卫生院2</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155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具有执业助理医师及以上资格者，学历可放宽到大专</w:t>
            </w:r>
          </w:p>
        </w:tc>
      </w:tr>
      <w:tr>
        <w:tblPrEx>
          <w:tblLayout w:type="fixed"/>
          <w:tblCellMar>
            <w:top w:w="0" w:type="dxa"/>
            <w:left w:w="108" w:type="dxa"/>
            <w:bottom w:w="0" w:type="dxa"/>
            <w:right w:w="108" w:type="dxa"/>
          </w:tblCellMar>
        </w:tblPrEx>
        <w:trPr>
          <w:trHeight w:val="300"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201906</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乡镇卫生院3</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15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kern w:val="0"/>
              </w:rPr>
            </w:pPr>
            <w:r>
              <w:rPr>
                <w:rFonts w:hint="eastAsia" w:ascii="仿宋" w:hAnsi="仿宋" w:eastAsia="仿宋" w:cs="仿宋"/>
                <w:kern w:val="0"/>
              </w:rPr>
              <w:t>大专及以上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仿宋"/>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358"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201907</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乡镇卫生院4</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06" w:type="dxa"/>
            <w:tcBorders>
              <w:top w:val="nil"/>
              <w:left w:val="nil"/>
              <w:bottom w:val="single" w:color="auto" w:sz="4" w:space="0"/>
              <w:right w:val="single" w:color="auto" w:sz="4" w:space="0"/>
            </w:tcBorders>
            <w:shd w:val="clear" w:color="auto" w:fill="auto"/>
            <w:vAlign w:val="center"/>
          </w:tcPr>
          <w:p>
            <w:pPr>
              <w:jc w:val="center"/>
              <w:rPr>
                <w:kern w:val="0"/>
              </w:rPr>
            </w:pPr>
            <w:r>
              <w:rPr>
                <w:rFonts w:hint="eastAsia"/>
                <w:kern w:val="0"/>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药房管理</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5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kern w:val="0"/>
              </w:rPr>
            </w:pPr>
            <w:r>
              <w:rPr>
                <w:rFonts w:hint="eastAsia" w:ascii="仿宋" w:hAnsi="仿宋" w:eastAsia="仿宋" w:cs="仿宋"/>
                <w:kern w:val="0"/>
              </w:rPr>
              <w:t>大专及以上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药学、中药学</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具有药士及以上资格</w:t>
            </w:r>
          </w:p>
        </w:tc>
      </w:tr>
      <w:tr>
        <w:tblPrEx>
          <w:tblLayout w:type="fixed"/>
          <w:tblCellMar>
            <w:top w:w="0" w:type="dxa"/>
            <w:left w:w="108" w:type="dxa"/>
            <w:bottom w:w="0" w:type="dxa"/>
            <w:right w:w="108" w:type="dxa"/>
          </w:tblCellMar>
        </w:tblPrEx>
        <w:trPr>
          <w:trHeight w:val="344"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 说明：</w:t>
            </w:r>
          </w:p>
        </w:tc>
      </w:tr>
      <w:tr>
        <w:tblPrEx>
          <w:tblLayout w:type="fixed"/>
          <w:tblCellMar>
            <w:top w:w="0" w:type="dxa"/>
            <w:left w:w="108" w:type="dxa"/>
            <w:bottom w:w="0" w:type="dxa"/>
            <w:right w:w="108" w:type="dxa"/>
          </w:tblCellMar>
        </w:tblPrEx>
        <w:trPr>
          <w:trHeight w:val="463"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 xml:space="preserve">    1.岗位一览表中未明确具体招聘单位的岗位按综合成绩排名从高到低依次选岗，再进行拟聘用公示，具体招聘岗位情况说明见附件;</w:t>
            </w:r>
          </w:p>
        </w:tc>
      </w:tr>
      <w:tr>
        <w:tblPrEx>
          <w:tblLayout w:type="fixed"/>
          <w:tblCellMar>
            <w:top w:w="0" w:type="dxa"/>
            <w:left w:w="108" w:type="dxa"/>
            <w:bottom w:w="0" w:type="dxa"/>
            <w:right w:w="108" w:type="dxa"/>
          </w:tblCellMar>
        </w:tblPrEx>
        <w:trPr>
          <w:trHeight w:val="251"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 xml:space="preserve">    2.岗位类别说明：B类：专业技术岗位。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7F61C0"/>
    <w:rsid w:val="5BE5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2019-09-18T08:02:01Z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